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4005" w:rsidRDefault="00034005">
      <w:pPr>
        <w:spacing w:line="360" w:lineRule="auto"/>
        <w:rPr>
          <w:sz w:val="28"/>
          <w:szCs w:val="28"/>
        </w:rPr>
      </w:pPr>
    </w:p>
    <w:p w:rsidR="00034005" w:rsidRDefault="00034005">
      <w:pPr>
        <w:pStyle w:val="Styl2"/>
        <w:rPr>
          <w:color w:val="000000"/>
        </w:rPr>
      </w:pPr>
    </w:p>
    <w:p w:rsidR="00034005" w:rsidRDefault="00230A9C">
      <w:pPr>
        <w:pStyle w:val="Styl2"/>
        <w:rPr>
          <w:color w:val="000000"/>
        </w:rPr>
      </w:pPr>
      <w:r>
        <w:rPr>
          <w:color w:val="000000"/>
        </w:rPr>
        <w:t>PROGRAM FUNKCJONALNO-UŻYTKOWY</w:t>
      </w:r>
    </w:p>
    <w:p w:rsidR="00034005" w:rsidRDefault="00230A9C">
      <w:pPr>
        <w:jc w:val="center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Montaż </w:t>
      </w:r>
      <w:proofErr w:type="spellStart"/>
      <w:r>
        <w:rPr>
          <w:rFonts w:ascii="Arial" w:eastAsiaTheme="minorHAnsi" w:hAnsi="Arial" w:cs="Arial"/>
          <w:b/>
          <w:bCs/>
          <w:color w:val="000000"/>
          <w:lang w:eastAsia="en-US"/>
        </w:rPr>
        <w:t>citylightów</w:t>
      </w:r>
      <w:proofErr w:type="spellEnd"/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 digital i </w:t>
      </w:r>
      <w:proofErr w:type="spellStart"/>
      <w:r>
        <w:rPr>
          <w:rFonts w:ascii="Arial" w:eastAsiaTheme="minorHAnsi" w:hAnsi="Arial" w:cs="Arial"/>
          <w:b/>
          <w:bCs/>
          <w:color w:val="000000"/>
          <w:lang w:eastAsia="en-US"/>
        </w:rPr>
        <w:t>cityligtów</w:t>
      </w:r>
      <w:proofErr w:type="spellEnd"/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 w formie </w:t>
      </w:r>
      <w:proofErr w:type="spellStart"/>
      <w:r>
        <w:rPr>
          <w:rFonts w:ascii="Arial" w:eastAsiaTheme="minorHAnsi" w:hAnsi="Arial" w:cs="Arial"/>
          <w:b/>
          <w:bCs/>
          <w:color w:val="000000"/>
          <w:lang w:eastAsia="en-US"/>
        </w:rPr>
        <w:t>rollpostera</w:t>
      </w:r>
      <w:proofErr w:type="spellEnd"/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/plakatów </w:t>
      </w:r>
    </w:p>
    <w:p w:rsidR="00034005" w:rsidRDefault="00230A9C">
      <w:pPr>
        <w:jc w:val="center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 na ścianie budynku na terminalu Dworca autobusowego Poznań Główny.</w:t>
      </w:r>
    </w:p>
    <w:p w:rsidR="00034005" w:rsidRDefault="00034005">
      <w:pPr>
        <w:pStyle w:val="Styl2"/>
        <w:jc w:val="left"/>
        <w:rPr>
          <w:color w:val="000000"/>
        </w:rPr>
      </w:pPr>
    </w:p>
    <w:p w:rsidR="00034005" w:rsidRDefault="00230A9C">
      <w:pPr>
        <w:rPr>
          <w:lang w:val="en-US"/>
        </w:rPr>
      </w:pPr>
      <w:r>
        <w:rPr>
          <w:noProof/>
        </w:rPr>
        <w:drawing>
          <wp:inline distT="0" distB="0" distL="0" distR="0">
            <wp:extent cx="6263640" cy="4180840"/>
            <wp:effectExtent l="0" t="0" r="0" b="0"/>
            <wp:docPr id="1" name="Obraz 1" descr="Woda zalała dworzec PKS w Pozna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oda zalała dworzec PKS w Poznani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005" w:rsidRDefault="00034005">
      <w:pPr>
        <w:rPr>
          <w:lang w:val="en-US"/>
        </w:rPr>
      </w:pPr>
    </w:p>
    <w:p w:rsidR="00034005" w:rsidRDefault="00034005">
      <w:pPr>
        <w:rPr>
          <w:lang w:val="en-US"/>
        </w:rPr>
      </w:pPr>
    </w:p>
    <w:p w:rsidR="00034005" w:rsidRDefault="00034005">
      <w:pPr>
        <w:rPr>
          <w:lang w:val="en-US"/>
        </w:rPr>
      </w:pPr>
    </w:p>
    <w:p w:rsidR="00034005" w:rsidRDefault="00034005"/>
    <w:p w:rsidR="00034005" w:rsidRDefault="00230A9C">
      <w:pPr>
        <w:sectPr w:rsidR="00034005">
          <w:headerReference w:type="default" r:id="rId9"/>
          <w:footerReference w:type="default" r:id="rId10"/>
          <w:pgSz w:w="11906" w:h="16838"/>
          <w:pgMar w:top="1418" w:right="1021" w:bottom="709" w:left="1021" w:header="737" w:footer="0" w:gutter="0"/>
          <w:cols w:space="708"/>
          <w:formProt w:val="0"/>
          <w:docGrid w:linePitch="360" w:charSpace="4096"/>
        </w:sectPr>
      </w:pPr>
      <w:r>
        <w:rPr>
          <w:color w:val="000000"/>
        </w:rPr>
        <w:t xml:space="preserve">Data: </w:t>
      </w:r>
      <w:r w:rsidR="00A034E7">
        <w:rPr>
          <w:color w:val="000000"/>
        </w:rPr>
        <w:t>23</w:t>
      </w:r>
      <w:r>
        <w:rPr>
          <w:color w:val="000000"/>
        </w:rPr>
        <w:t xml:space="preserve">.11.2021 r. </w:t>
      </w:r>
    </w:p>
    <w:p w:rsidR="00034005" w:rsidRDefault="00230A9C">
      <w:pPr>
        <w:jc w:val="center"/>
        <w:rPr>
          <w:rFonts w:ascii="Arial" w:hAnsi="Arial" w:cs="Arial"/>
          <w:b/>
          <w:bCs/>
          <w:u w:val="single"/>
        </w:rPr>
      </w:pPr>
      <w:r>
        <w:rPr>
          <w:b/>
          <w:color w:val="000000"/>
        </w:rPr>
        <w:lastRenderedPageBreak/>
        <w:br/>
      </w:r>
    </w:p>
    <w:p w:rsidR="00034005" w:rsidRDefault="00034005">
      <w:pPr>
        <w:jc w:val="center"/>
        <w:rPr>
          <w:rFonts w:ascii="Arial" w:hAnsi="Arial" w:cs="Arial"/>
          <w:b/>
          <w:bCs/>
          <w:u w:val="single"/>
        </w:rPr>
      </w:pPr>
    </w:p>
    <w:p w:rsidR="00034005" w:rsidRDefault="00034005">
      <w:pPr>
        <w:jc w:val="center"/>
        <w:rPr>
          <w:rFonts w:ascii="Arial" w:hAnsi="Arial" w:cs="Arial"/>
          <w:b/>
          <w:bCs/>
          <w:u w:val="single"/>
        </w:rPr>
      </w:pPr>
    </w:p>
    <w:p w:rsidR="00034005" w:rsidRDefault="00230A9C">
      <w:pPr>
        <w:jc w:val="center"/>
        <w:rPr>
          <w:rFonts w:ascii="Arial" w:eastAsiaTheme="minorHAnsi" w:hAnsi="Arial" w:cs="Arial"/>
          <w:b/>
          <w:bCs/>
          <w:u w:val="single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u w:val="single"/>
          <w:lang w:eastAsia="en-US"/>
        </w:rPr>
        <w:t>TEMAT:</w:t>
      </w:r>
    </w:p>
    <w:p w:rsidR="00034005" w:rsidRDefault="00034005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:rsidR="00034005" w:rsidRDefault="00230A9C">
      <w:pPr>
        <w:jc w:val="center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Montaż </w:t>
      </w:r>
      <w:proofErr w:type="spellStart"/>
      <w:r>
        <w:rPr>
          <w:rFonts w:ascii="Arial" w:eastAsiaTheme="minorHAnsi" w:hAnsi="Arial" w:cs="Arial"/>
          <w:b/>
          <w:bCs/>
          <w:color w:val="000000"/>
          <w:lang w:eastAsia="en-US"/>
        </w:rPr>
        <w:t>Citylightów</w:t>
      </w:r>
      <w:proofErr w:type="spellEnd"/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 Digital i </w:t>
      </w:r>
      <w:proofErr w:type="spellStart"/>
      <w:r>
        <w:rPr>
          <w:rFonts w:ascii="Arial" w:eastAsiaTheme="minorHAnsi" w:hAnsi="Arial" w:cs="Arial"/>
          <w:b/>
          <w:bCs/>
          <w:color w:val="000000"/>
          <w:lang w:eastAsia="en-US"/>
        </w:rPr>
        <w:t>Cityligtów</w:t>
      </w:r>
      <w:proofErr w:type="spellEnd"/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 w formie </w:t>
      </w:r>
      <w:proofErr w:type="spellStart"/>
      <w:r>
        <w:rPr>
          <w:rFonts w:ascii="Arial" w:eastAsiaTheme="minorHAnsi" w:hAnsi="Arial" w:cs="Arial"/>
          <w:b/>
          <w:bCs/>
          <w:color w:val="000000"/>
          <w:lang w:eastAsia="en-US"/>
        </w:rPr>
        <w:t>rollera</w:t>
      </w:r>
      <w:proofErr w:type="spellEnd"/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 na ścianie na terminalu 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br/>
        <w:t>Dworca autobusowego Poznań Główny.</w:t>
      </w:r>
    </w:p>
    <w:p w:rsidR="00034005" w:rsidRDefault="00034005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:rsidR="00034005" w:rsidRDefault="00034005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:rsidR="00034005" w:rsidRDefault="00034005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:rsidR="00034005" w:rsidRDefault="00034005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:rsidR="00034005" w:rsidRDefault="00034005">
      <w:pPr>
        <w:rPr>
          <w:rFonts w:ascii="Arial" w:eastAsiaTheme="minorHAnsi" w:hAnsi="Arial" w:cs="Arial"/>
          <w:b/>
          <w:bCs/>
          <w:lang w:eastAsia="en-US"/>
        </w:rPr>
      </w:pPr>
    </w:p>
    <w:p w:rsidR="00034005" w:rsidRDefault="00034005">
      <w:pPr>
        <w:rPr>
          <w:rFonts w:ascii="Arial" w:eastAsiaTheme="minorHAnsi" w:hAnsi="Arial" w:cs="Arial"/>
          <w:b/>
          <w:bCs/>
          <w:lang w:eastAsia="en-US"/>
        </w:rPr>
      </w:pPr>
    </w:p>
    <w:p w:rsidR="00034005" w:rsidRDefault="00230A9C">
      <w:pPr>
        <w:jc w:val="center"/>
        <w:rPr>
          <w:rFonts w:ascii="Arial" w:eastAsiaTheme="minorHAnsi" w:hAnsi="Arial" w:cs="Arial"/>
          <w:b/>
          <w:bCs/>
          <w:u w:val="single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u w:val="single"/>
          <w:lang w:eastAsia="en-US"/>
        </w:rPr>
        <w:t>OBIEKT:</w:t>
      </w:r>
    </w:p>
    <w:p w:rsidR="00034005" w:rsidRDefault="00034005">
      <w:pPr>
        <w:jc w:val="center"/>
        <w:rPr>
          <w:rFonts w:ascii="Arial" w:eastAsiaTheme="minorHAnsi" w:hAnsi="Arial" w:cs="Arial"/>
          <w:b/>
          <w:bCs/>
          <w:u w:val="single"/>
          <w:lang w:eastAsia="en-US"/>
        </w:rPr>
      </w:pPr>
    </w:p>
    <w:p w:rsidR="00034005" w:rsidRDefault="00034005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:rsidR="00034005" w:rsidRDefault="00230A9C">
      <w:pPr>
        <w:jc w:val="center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BUDYNEK  UŻYTKOWY </w:t>
      </w:r>
    </w:p>
    <w:p w:rsidR="00034005" w:rsidRDefault="00034005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:rsidR="00034005" w:rsidRDefault="00230A9C">
      <w:pPr>
        <w:jc w:val="center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Dworzec autobusowy Poznań Główny </w:t>
      </w:r>
    </w:p>
    <w:p w:rsidR="00034005" w:rsidRDefault="00230A9C">
      <w:pPr>
        <w:jc w:val="center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przy ul. Stanisława Matyi 2 w Poznaniu</w:t>
      </w:r>
    </w:p>
    <w:p w:rsidR="00034005" w:rsidRDefault="00034005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:rsidR="00034005" w:rsidRDefault="00034005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:rsidR="00034005" w:rsidRDefault="00034005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:rsidR="00034005" w:rsidRDefault="00034005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:rsidR="00034005" w:rsidRDefault="00230A9C">
      <w:pPr>
        <w:jc w:val="center"/>
        <w:rPr>
          <w:rFonts w:ascii="Arial" w:eastAsiaTheme="minorHAnsi" w:hAnsi="Arial" w:cs="Arial"/>
          <w:b/>
          <w:bCs/>
          <w:u w:val="single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u w:val="single"/>
          <w:lang w:eastAsia="en-US"/>
        </w:rPr>
        <w:t>Wynajmujący:</w:t>
      </w:r>
    </w:p>
    <w:p w:rsidR="00034005" w:rsidRDefault="00034005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:rsidR="00034005" w:rsidRDefault="00034005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:rsidR="00034005" w:rsidRDefault="00230A9C">
      <w:pPr>
        <w:jc w:val="center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Zarząd Komunalnych Zasobów Lokalowych Sp. z o.o.</w:t>
      </w:r>
    </w:p>
    <w:p w:rsidR="00034005" w:rsidRDefault="00034005">
      <w:pPr>
        <w:jc w:val="center"/>
        <w:rPr>
          <w:rFonts w:ascii="Arial" w:eastAsiaTheme="minorHAnsi" w:hAnsi="Arial" w:cs="Arial"/>
          <w:b/>
          <w:bCs/>
          <w:sz w:val="36"/>
          <w:szCs w:val="36"/>
          <w:lang w:eastAsia="en-US"/>
        </w:rPr>
      </w:pPr>
    </w:p>
    <w:p w:rsidR="00034005" w:rsidRDefault="00034005">
      <w:pPr>
        <w:jc w:val="center"/>
        <w:rPr>
          <w:rFonts w:ascii="Arial" w:eastAsiaTheme="minorHAnsi" w:hAnsi="Arial" w:cs="Arial"/>
          <w:b/>
          <w:bCs/>
          <w:sz w:val="32"/>
          <w:szCs w:val="32"/>
          <w:lang w:eastAsia="en-US"/>
        </w:rPr>
      </w:pPr>
    </w:p>
    <w:p w:rsidR="00034005" w:rsidRDefault="00034005">
      <w:pPr>
        <w:jc w:val="center"/>
        <w:rPr>
          <w:rFonts w:ascii="Arial" w:eastAsiaTheme="minorHAnsi" w:hAnsi="Arial" w:cs="Arial"/>
          <w:b/>
          <w:bCs/>
          <w:sz w:val="32"/>
          <w:szCs w:val="32"/>
          <w:lang w:eastAsia="en-US"/>
        </w:rPr>
      </w:pPr>
    </w:p>
    <w:p w:rsidR="00034005" w:rsidRDefault="00230A9C">
      <w:pPr>
        <w:jc w:val="center"/>
        <w:rPr>
          <w:rFonts w:ascii="Arial" w:eastAsiaTheme="minorHAnsi" w:hAnsi="Arial" w:cs="Arial"/>
          <w:bCs/>
          <w:color w:val="000000"/>
          <w:lang w:eastAsia="en-US"/>
        </w:rPr>
      </w:pPr>
      <w:r>
        <w:rPr>
          <w:rFonts w:ascii="Arial" w:eastAsiaTheme="minorHAnsi" w:hAnsi="Arial" w:cs="Arial"/>
          <w:bCs/>
          <w:color w:val="000000"/>
          <w:lang w:eastAsia="en-US"/>
        </w:rPr>
        <w:t>Kod wg CPV:</w:t>
      </w:r>
    </w:p>
    <w:p w:rsidR="00034005" w:rsidRDefault="00034005">
      <w:pPr>
        <w:jc w:val="center"/>
        <w:rPr>
          <w:rFonts w:ascii="Arial" w:eastAsiaTheme="minorHAnsi" w:hAnsi="Arial" w:cs="Arial"/>
          <w:bCs/>
          <w:color w:val="000000"/>
          <w:lang w:eastAsia="en-US"/>
        </w:rPr>
      </w:pPr>
    </w:p>
    <w:p w:rsidR="00034005" w:rsidRDefault="00230A9C">
      <w:pPr>
        <w:spacing w:line="360" w:lineRule="auto"/>
        <w:jc w:val="center"/>
        <w:rPr>
          <w:rFonts w:ascii="Calibri" w:eastAsiaTheme="minorHAnsi" w:hAnsi="Calibri" w:cs="Calibri"/>
          <w:b/>
          <w:bCs/>
          <w:color w:val="000000"/>
          <w:lang w:eastAsia="en-US"/>
        </w:rPr>
      </w:pPr>
      <w:r>
        <w:rPr>
          <w:rFonts w:ascii="Calibri" w:eastAsiaTheme="minorHAnsi" w:hAnsi="Calibri" w:cs="Calibri"/>
          <w:b/>
          <w:bCs/>
          <w:color w:val="000000"/>
          <w:lang w:eastAsia="en-US"/>
        </w:rPr>
        <w:t xml:space="preserve">Kod: 31523100-9 Nazwa: Neony reklamowe </w:t>
      </w:r>
    </w:p>
    <w:p w:rsidR="00034005" w:rsidRDefault="00230A9C">
      <w:pPr>
        <w:spacing w:line="360" w:lineRule="auto"/>
        <w:jc w:val="center"/>
        <w:rPr>
          <w:rFonts w:ascii="Calibri" w:eastAsiaTheme="minorHAnsi" w:hAnsi="Calibri" w:cs="Calibri"/>
          <w:b/>
          <w:bCs/>
          <w:color w:val="000000"/>
          <w:lang w:eastAsia="en-US"/>
        </w:rPr>
      </w:pPr>
      <w:r>
        <w:rPr>
          <w:rFonts w:ascii="Calibri" w:eastAsiaTheme="minorHAnsi" w:hAnsi="Calibri" w:cs="Calibri"/>
          <w:b/>
          <w:bCs/>
          <w:color w:val="000000"/>
          <w:lang w:eastAsia="en-US"/>
        </w:rPr>
        <w:t>Kod: 45310000-3 Nazwa: Roboty w zakresie instalacji elektrycznych</w:t>
      </w:r>
    </w:p>
    <w:p w:rsidR="00034005" w:rsidRDefault="00034005">
      <w:pPr>
        <w:jc w:val="center"/>
        <w:rPr>
          <w:rFonts w:ascii="Calibri" w:eastAsiaTheme="minorHAnsi" w:hAnsi="Calibri" w:cs="Calibri"/>
          <w:b/>
          <w:bCs/>
          <w:color w:val="000000"/>
          <w:lang w:eastAsia="en-US"/>
        </w:rPr>
      </w:pPr>
    </w:p>
    <w:p w:rsidR="00034005" w:rsidRDefault="00034005">
      <w:pPr>
        <w:jc w:val="center"/>
        <w:rPr>
          <w:rFonts w:ascii="Calibri" w:eastAsiaTheme="minorHAnsi" w:hAnsi="Calibri" w:cs="Calibri"/>
          <w:b/>
          <w:bCs/>
          <w:color w:val="000000"/>
          <w:lang w:eastAsia="en-US"/>
        </w:rPr>
      </w:pPr>
    </w:p>
    <w:p w:rsidR="00034005" w:rsidRDefault="00A91128">
      <w:hyperlink r:id="rId11">
        <w:r w:rsidR="00230A9C">
          <w:rPr>
            <w:rStyle w:val="ListLabel38"/>
          </w:rPr>
          <w:t xml:space="preserve">                                     </w:t>
        </w:r>
      </w:hyperlink>
    </w:p>
    <w:p w:rsidR="00034005" w:rsidRDefault="00034005">
      <w:pPr>
        <w:rPr>
          <w:rFonts w:asciiTheme="minorHAnsi" w:hAnsiTheme="minorHAnsi" w:cstheme="minorHAnsi"/>
          <w:b/>
          <w:color w:val="000000"/>
        </w:rPr>
      </w:pPr>
    </w:p>
    <w:p w:rsidR="00034005" w:rsidRDefault="00034005">
      <w:pPr>
        <w:rPr>
          <w:rFonts w:asciiTheme="minorHAnsi" w:hAnsiTheme="minorHAnsi" w:cstheme="minorHAnsi"/>
          <w:b/>
          <w:color w:val="0000FF"/>
          <w:u w:val="single"/>
        </w:rPr>
      </w:pPr>
    </w:p>
    <w:p w:rsidR="00034005" w:rsidRDefault="00034005">
      <w:pPr>
        <w:rPr>
          <w:rFonts w:asciiTheme="minorHAnsi" w:hAnsiTheme="minorHAnsi" w:cstheme="minorHAnsi"/>
          <w:b/>
        </w:rPr>
      </w:pPr>
    </w:p>
    <w:p w:rsidR="00034005" w:rsidRDefault="00034005">
      <w:pPr>
        <w:ind w:left="-354" w:firstLine="354"/>
      </w:pPr>
    </w:p>
    <w:p w:rsidR="00034005" w:rsidRDefault="00034005"/>
    <w:p w:rsidR="00034005" w:rsidRDefault="00230A9C">
      <w:pPr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sz w:val="28"/>
          <w:szCs w:val="28"/>
          <w:lang w:eastAsia="en-US"/>
        </w:rPr>
        <w:lastRenderedPageBreak/>
        <w:t xml:space="preserve">I. CZEŚĆ OPISOWA </w:t>
      </w:r>
    </w:p>
    <w:p w:rsidR="00034005" w:rsidRDefault="00230A9C">
      <w:pPr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1. Opis ogólny przedmiotu najmu</w:t>
      </w:r>
    </w:p>
    <w:p w:rsidR="00034005" w:rsidRDefault="00034005">
      <w:pPr>
        <w:rPr>
          <w:rFonts w:ascii="Arial" w:eastAsiaTheme="minorHAnsi" w:hAnsi="Arial" w:cs="Arial"/>
          <w:b/>
          <w:bCs/>
          <w:color w:val="000000"/>
          <w:lang w:eastAsia="en-US"/>
        </w:rPr>
      </w:pPr>
    </w:p>
    <w:p w:rsidR="00034005" w:rsidRDefault="00230A9C">
      <w:pPr>
        <w:rPr>
          <w:rFonts w:ascii="Arial" w:eastAsiaTheme="minorHAnsi" w:hAnsi="Arial" w:cs="Arial"/>
          <w:bCs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bCs/>
          <w:color w:val="000000"/>
          <w:sz w:val="22"/>
          <w:szCs w:val="22"/>
          <w:lang w:eastAsia="en-US"/>
        </w:rPr>
        <w:t xml:space="preserve">    </w:t>
      </w:r>
    </w:p>
    <w:p w:rsidR="00034005" w:rsidRDefault="00230A9C">
      <w:pPr>
        <w:jc w:val="both"/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</w:pPr>
      <w:r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Przedmiotem umowy najmu będzie </w:t>
      </w:r>
      <w:r>
        <w:rPr>
          <w:rFonts w:ascii="Arial" w:eastAsiaTheme="minorHAnsi" w:hAnsi="Arial" w:cs="Arial"/>
          <w:b/>
          <w:bCs/>
          <w:i/>
          <w:color w:val="000000" w:themeColor="text1"/>
          <w:sz w:val="22"/>
          <w:szCs w:val="22"/>
          <w:lang w:eastAsia="en-US"/>
        </w:rPr>
        <w:t>wynajem powierzchni wraz z montażem przez Najemcę na jego koszt nośników oraz ich obsługą w okresie najmu</w:t>
      </w:r>
      <w:r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>, w tym:</w:t>
      </w:r>
    </w:p>
    <w:p w:rsidR="00034005" w:rsidRDefault="00230A9C">
      <w:pPr>
        <w:jc w:val="both"/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</w:pPr>
      <w:r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1)  demontaż 3 starych nośników w formie gablot reklamowych i ich utylizacja, </w:t>
      </w:r>
    </w:p>
    <w:p w:rsidR="00034005" w:rsidRDefault="00230A9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2) zakup i zamontowanie 3 nowych nośników outdoorowych typu </w:t>
      </w:r>
      <w:bookmarkStart w:id="0" w:name="_Hlk87268155"/>
      <w:r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>citylight</w:t>
      </w:r>
      <w:bookmarkEnd w:id="0"/>
      <w:r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 digital, umożliwiających </w:t>
      </w:r>
      <w:r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br/>
      </w:r>
      <w:r>
        <w:rPr>
          <w:rFonts w:ascii="Arial" w:hAnsi="Arial" w:cs="Arial"/>
          <w:sz w:val="22"/>
          <w:szCs w:val="22"/>
        </w:rPr>
        <w:t>dostarczanie aktualnych i dynamicznych treści, w technologii LED (preferowana) lub LCD,</w:t>
      </w:r>
    </w:p>
    <w:p w:rsidR="00034005" w:rsidRDefault="00230A9C">
      <w:pPr>
        <w:jc w:val="both"/>
      </w:pPr>
      <w:r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3) zakup i zamontowanie 2 nowych nośników outdoorowych typu citylight </w:t>
      </w:r>
      <w:r w:rsidRPr="000D69DD"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>r</w:t>
      </w:r>
      <w:r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ollposter (z </w:t>
      </w:r>
      <w:r>
        <w:rPr>
          <w:rFonts w:ascii="Arial" w:hAnsi="Arial" w:cs="Arial"/>
          <w:sz w:val="22"/>
          <w:szCs w:val="22"/>
        </w:rPr>
        <w:t>mechanizmem do przewijania plakatów</w:t>
      </w:r>
      <w:r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>)</w:t>
      </w:r>
      <w:r w:rsidR="000D69DD"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w miejscu uzgodnionym z Wynajmującym, </w:t>
      </w:r>
    </w:p>
    <w:p w:rsidR="00034005" w:rsidRDefault="00230A9C">
      <w:pPr>
        <w:jc w:val="both"/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</w:pPr>
      <w:r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w obrębie terminala Dworca autobusowego Poznań Główny (dalej jako Dworzec) na ścianie budynku, </w:t>
      </w:r>
    </w:p>
    <w:p w:rsidR="00034005" w:rsidRDefault="00230A9C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zgodnie z lokalizacją zawartą w wyciągu z koncepcji nowego oznakowania Dworca, </w:t>
      </w:r>
      <w:bookmarkStart w:id="1" w:name="_Hlk82004115"/>
      <w:r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który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stanowi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załącznik nr 1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do PFU</w:t>
      </w:r>
      <w:bookmarkEnd w:id="1"/>
      <w:r>
        <w:rPr>
          <w:rFonts w:ascii="Arial" w:hAnsi="Arial" w:cs="Arial"/>
          <w:color w:val="000000" w:themeColor="text1"/>
          <w:sz w:val="22"/>
          <w:szCs w:val="22"/>
        </w:rPr>
        <w:t>, przy czym zakłada się, że:</w:t>
      </w:r>
    </w:p>
    <w:p w:rsidR="00034005" w:rsidRDefault="00230A9C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 montaż nośników digital nastąpi w miejscu dotychczasowych gablot /poprzez ich wymianę i dostosowanie doprowadzonej do nich instalacji elektrycznej/ bez naruszania elewacji,</w:t>
      </w:r>
    </w:p>
    <w:p w:rsidR="00034005" w:rsidRDefault="00230A9C">
      <w:pPr>
        <w:jc w:val="both"/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 zamontowanie 2 dodatkowych nośników </w:t>
      </w:r>
      <w:r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typu citylight na plakaty nastąpi w miejscu uzgodnionym </w:t>
      </w:r>
      <w:r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br/>
        <w:t xml:space="preserve">z Wynajmującym (z zastrzeżeniem dokonania uzgodnień z Zarządcą budynku w zakresie technologii montażu), w przypadku zamontowania </w:t>
      </w:r>
      <w:proofErr w:type="spellStart"/>
      <w:r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>rollera</w:t>
      </w:r>
      <w:proofErr w:type="spellEnd"/>
      <w:r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 i/lub oświetlenia z uwzględnieniem doprowadzenia zasilania,</w:t>
      </w:r>
    </w:p>
    <w:p w:rsidR="00034005" w:rsidRDefault="00230A9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4) dostarczenie „</w:t>
      </w:r>
      <w:r>
        <w:rPr>
          <w:rFonts w:ascii="Arial" w:hAnsi="Arial" w:cs="Arial"/>
          <w:sz w:val="22"/>
          <w:szCs w:val="22"/>
        </w:rPr>
        <w:t xml:space="preserve">Oprogramowania” służącego do tworzenia i wyświetlania treści multimedialnych na nośnikach cyfrowych, wraz z systemem zarządzania treścią zamontowanych cyfrowych nośników obrazu, który na etapie zawarcia umowy i po jej zakończeniu umowy zostanie przekazany do dyspozycji Wynajmującego. </w:t>
      </w:r>
    </w:p>
    <w:p w:rsidR="00034005" w:rsidRDefault="00230A9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Oprogramowanie winno umożliwić zarządzanie treścią i wyświetlanie reklam/informacji za pomocą przeglądarki internetowej, w tym: </w:t>
      </w:r>
    </w:p>
    <w:p w:rsidR="00034005" w:rsidRDefault="00230A9C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odtwarzanie różnych formatów w tym wideo, zdjęć, w tym: *.mp4, *.</w:t>
      </w:r>
      <w:proofErr w:type="spellStart"/>
      <w:r>
        <w:rPr>
          <w:rFonts w:ascii="Arial" w:hAnsi="Arial" w:cs="Arial"/>
          <w:sz w:val="22"/>
          <w:szCs w:val="22"/>
        </w:rPr>
        <w:t>avi</w:t>
      </w:r>
      <w:proofErr w:type="spellEnd"/>
      <w:r>
        <w:rPr>
          <w:rFonts w:ascii="Arial" w:hAnsi="Arial" w:cs="Arial"/>
          <w:sz w:val="22"/>
          <w:szCs w:val="22"/>
        </w:rPr>
        <w:t>, *,jpg, *.</w:t>
      </w:r>
      <w:proofErr w:type="spellStart"/>
      <w:r>
        <w:rPr>
          <w:rFonts w:ascii="Arial" w:hAnsi="Arial" w:cs="Arial"/>
          <w:sz w:val="22"/>
          <w:szCs w:val="22"/>
        </w:rPr>
        <w:t>png</w:t>
      </w:r>
      <w:proofErr w:type="spellEnd"/>
      <w:r>
        <w:rPr>
          <w:rFonts w:ascii="Arial" w:hAnsi="Arial" w:cs="Arial"/>
          <w:sz w:val="22"/>
          <w:szCs w:val="22"/>
        </w:rPr>
        <w:t>, *.</w:t>
      </w:r>
      <w:proofErr w:type="spellStart"/>
      <w:r>
        <w:rPr>
          <w:rFonts w:ascii="Arial" w:hAnsi="Arial" w:cs="Arial"/>
          <w:sz w:val="22"/>
          <w:szCs w:val="22"/>
        </w:rPr>
        <w:t>tif</w:t>
      </w:r>
      <w:proofErr w:type="spellEnd"/>
      <w:r>
        <w:rPr>
          <w:rFonts w:ascii="Arial" w:hAnsi="Arial" w:cs="Arial"/>
          <w:sz w:val="22"/>
          <w:szCs w:val="22"/>
        </w:rPr>
        <w:t>, *.pdf,</w:t>
      </w:r>
    </w:p>
    <w:p w:rsidR="00034005" w:rsidRDefault="00230A9C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umożliwiać odtwarzanie pliku wideo bez dźwięku, </w:t>
      </w:r>
    </w:p>
    <w:p w:rsidR="00034005" w:rsidRDefault="00230A9C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możliwość dodania kanałów RSS, i innych zawartości,</w:t>
      </w:r>
    </w:p>
    <w:p w:rsidR="00034005" w:rsidRDefault="00230A9C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definiowanie różnych rozdzielczości ekranów,</w:t>
      </w:r>
    </w:p>
    <w:p w:rsidR="00034005" w:rsidRDefault="00230A9C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możliwość elastycznego planowania czasu, kolejności i zmian wyświetlanych treści,</w:t>
      </w:r>
    </w:p>
    <w:p w:rsidR="00034005" w:rsidRDefault="00230A9C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harmonogram wyświetlanych multimediów z listą odtwarzania,</w:t>
      </w:r>
    </w:p>
    <w:p w:rsidR="00034005" w:rsidRDefault="00230A9C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biblioteka multimediów, w tym zdjęć, plików wideo, itp. z filtrami dla treści po nazwach, czy kategoriach,</w:t>
      </w:r>
    </w:p>
    <w:p w:rsidR="00034005" w:rsidRDefault="00230A9C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możliwość dokonywania aktualizacji bez przerwy w wyświetlaniu treści,</w:t>
      </w:r>
    </w:p>
    <w:p w:rsidR="00034005" w:rsidRDefault="00230A9C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monitoring błędów i efektu końcowego, </w:t>
      </w:r>
    </w:p>
    <w:p w:rsidR="00034005" w:rsidRDefault="00230A9C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funkcja rejestrowania zdarzeń dla rozliczeń, </w:t>
      </w:r>
    </w:p>
    <w:p w:rsidR="00034005" w:rsidRDefault="00230A9C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wprowadzanie danych w czasie rzeczywistym np. komunikaty, wiadomości -  w powiązaniu </w:t>
      </w:r>
      <w:r>
        <w:rPr>
          <w:rFonts w:ascii="Arial" w:hAnsi="Arial" w:cs="Arial"/>
          <w:sz w:val="22"/>
          <w:szCs w:val="22"/>
        </w:rPr>
        <w:br/>
        <w:t xml:space="preserve">ze stroną internetową www Dworca w określonej kategorii /strona oparta na </w:t>
      </w:r>
      <w:proofErr w:type="spellStart"/>
      <w:r>
        <w:rPr>
          <w:rFonts w:ascii="Arial" w:hAnsi="Arial" w:cs="Arial"/>
          <w:sz w:val="22"/>
          <w:szCs w:val="22"/>
        </w:rPr>
        <w:t>WordPress</w:t>
      </w:r>
      <w:proofErr w:type="spellEnd"/>
      <w:r>
        <w:rPr>
          <w:rFonts w:ascii="Arial" w:hAnsi="Arial" w:cs="Arial"/>
          <w:sz w:val="22"/>
          <w:szCs w:val="22"/>
        </w:rPr>
        <w:t>/,</w:t>
      </w:r>
    </w:p>
    <w:p w:rsidR="00034005" w:rsidRDefault="00230A9C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zarządzanie użytkownikami i nadawanie uprawnień.</w:t>
      </w:r>
    </w:p>
    <w:p w:rsidR="00034005" w:rsidRDefault="00230A9C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5) obsługa nośników objętych umową najmu powierzchni w trakcie trwania umowy najmu, zawartej na czas oznaczony, poprzez prezentację przez Najemcę za wynagrodzeniem reklam komercyjnych lub niekomercyjnych pozyskanych przez Najemcę od podmiotów trzecich /reklamodawców/ w oparciu </w:t>
      </w:r>
      <w:r>
        <w:rPr>
          <w:rFonts w:ascii="Arial" w:hAnsi="Arial" w:cs="Arial"/>
          <w:color w:val="000000" w:themeColor="text1"/>
          <w:sz w:val="22"/>
          <w:szCs w:val="22"/>
        </w:rPr>
        <w:br/>
        <w:t xml:space="preserve">o oprogramowanie, wskazane w </w:t>
      </w:r>
      <w:r w:rsidR="007D4499">
        <w:rPr>
          <w:rFonts w:ascii="Arial" w:hAnsi="Arial" w:cs="Arial"/>
          <w:color w:val="000000" w:themeColor="text1"/>
          <w:sz w:val="22"/>
          <w:szCs w:val="22"/>
        </w:rPr>
        <w:t>pkt.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4</w:t>
      </w:r>
      <w:r w:rsidR="007D4499">
        <w:rPr>
          <w:rFonts w:ascii="Arial" w:hAnsi="Arial" w:cs="Arial"/>
          <w:color w:val="000000" w:themeColor="text1"/>
          <w:sz w:val="22"/>
          <w:szCs w:val="22"/>
        </w:rPr>
        <w:t>)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034005" w:rsidRDefault="00230A9C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Nośniki i nakłady związane z montażem, instalacją elektryczną oraz oprogramowaniem z dniem ich poniesienia/wykonania staną się własnością Wynajmującego i Najemca zrzeka się wszelkich roszczeń z tego tytułu. Do czasu zakończenia umowy najmu, Najemca będzie miał prawo do wykorzystywania nośników i oprogramowania do prowadzonej działalności; z dniem rozwiązania umowy najmu, </w:t>
      </w:r>
      <w:r>
        <w:rPr>
          <w:rFonts w:ascii="Arial" w:hAnsi="Arial" w:cs="Arial"/>
          <w:color w:val="000000" w:themeColor="text1"/>
          <w:sz w:val="22"/>
          <w:szCs w:val="22"/>
        </w:rPr>
        <w:br/>
        <w:t xml:space="preserve">Najemca przekaże bazy danych podmiotów korzystających z nośników zamontowanych na Dworcu, celem kontynuacji działalności przez Wynajmującego. Koszt zakupu nośników i pozostałych nakładów </w:t>
      </w: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obciąża Najemcę bez prawa zwrotu czy rozliczeń z czynszem najmu. Najemca zobowiązany będzie do utylizacji plakatów we własnym zakresie. Najemcę obciążać będzie koszt zużytej energii elektrycznej. Naprawa, serwis i wymiana zużytego nośnika w okresie najmu leży po stronie Najemcy (przy zachowaniu ustalonych parametrów technicznych) na jego wyłączny koszt.</w:t>
      </w:r>
    </w:p>
    <w:p w:rsidR="00034005" w:rsidRDefault="00230A9C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Pozostałe warunki najmu wskazuje projekt umowy, stanowiącej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załącznik nr 2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do PFU (w</w:t>
      </w:r>
      <w:r w:rsidR="00165B41">
        <w:rPr>
          <w:rFonts w:ascii="Arial" w:hAnsi="Arial" w:cs="Arial"/>
          <w:color w:val="000000" w:themeColor="text1"/>
          <w:sz w:val="22"/>
          <w:szCs w:val="22"/>
        </w:rPr>
        <w:t xml:space="preserve"> załączeniu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). </w:t>
      </w:r>
    </w:p>
    <w:p w:rsidR="00034005" w:rsidRDefault="00034005">
      <w:pPr>
        <w:shd w:val="clear" w:color="auto" w:fill="FFFFFF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</w:p>
    <w:p w:rsidR="00034005" w:rsidRDefault="00230A9C">
      <w:pPr>
        <w:shd w:val="clear" w:color="auto" w:fill="FFFFFF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color w:val="000000" w:themeColor="text1"/>
          <w:sz w:val="22"/>
          <w:szCs w:val="22"/>
        </w:rPr>
        <w:t>Zamontowanie nośników wymaga uprzedniego wykonania projektu pełno</w:t>
      </w:r>
      <w:r w:rsidRPr="000D69DD">
        <w:rPr>
          <w:rFonts w:ascii="Arial" w:hAnsi="Arial" w:cs="Arial"/>
          <w:color w:val="000000" w:themeColor="text1"/>
          <w:sz w:val="22"/>
          <w:szCs w:val="22"/>
        </w:rPr>
        <w:t>-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branżowego w niezbędnym zakresie uzgodnionego z </w:t>
      </w:r>
      <w:r w:rsidR="00040D9A">
        <w:rPr>
          <w:rFonts w:ascii="Arial" w:hAnsi="Arial" w:cs="Arial"/>
          <w:color w:val="000000" w:themeColor="text1"/>
          <w:sz w:val="22"/>
          <w:szCs w:val="22"/>
        </w:rPr>
        <w:t>Wynajmującym</w:t>
      </w:r>
      <w:r w:rsidR="00040D9A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Zarządcą budynku, oraz ze wszystkimi odpowiednimi </w:t>
      </w:r>
      <w:r w:rsidR="00040D9A">
        <w:rPr>
          <w:rFonts w:ascii="Arial" w:hAnsi="Arial" w:cs="Arial"/>
          <w:color w:val="000000" w:themeColor="text1"/>
          <w:sz w:val="22"/>
          <w:szCs w:val="22"/>
        </w:rPr>
        <w:br/>
      </w:r>
      <w:r>
        <w:rPr>
          <w:rFonts w:ascii="Arial" w:hAnsi="Arial" w:cs="Arial"/>
          <w:color w:val="000000" w:themeColor="text1"/>
          <w:sz w:val="22"/>
          <w:szCs w:val="22"/>
        </w:rPr>
        <w:t>służbami (Miejskim Konserwatorem Zabytków, Plastykiem miejskim itd.).</w:t>
      </w:r>
    </w:p>
    <w:p w:rsidR="00034005" w:rsidRDefault="00034005">
      <w:pPr>
        <w:pStyle w:val="NormalnyWeb"/>
        <w:shd w:val="clear" w:color="auto" w:fill="FFFFFF"/>
        <w:spacing w:beforeAutospacing="0" w:afterAutospacing="0"/>
        <w:rPr>
          <w:rFonts w:ascii="Arial" w:hAnsi="Arial" w:cs="Arial"/>
          <w:color w:val="000000" w:themeColor="text1"/>
          <w:sz w:val="22"/>
          <w:szCs w:val="22"/>
        </w:rPr>
      </w:pPr>
    </w:p>
    <w:p w:rsidR="00034005" w:rsidRDefault="00230A9C">
      <w:pPr>
        <w:jc w:val="both"/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 xml:space="preserve">W ramach Przedmiotu umowy do wykonania będą wszelkie niezbędne czynności związane </w:t>
      </w:r>
      <w:r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br/>
        <w:t>z realizacją zadania, w tym:</w:t>
      </w:r>
    </w:p>
    <w:p w:rsidR="00034005" w:rsidRDefault="00230A9C">
      <w:pPr>
        <w:pStyle w:val="Akapitzlist"/>
        <w:numPr>
          <w:ilvl w:val="0"/>
          <w:numId w:val="1"/>
        </w:numPr>
        <w:jc w:val="both"/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 xml:space="preserve">uzyskanie opinii i pozwoleń wymaganych przepisami prawa w niezbędnym zakresie, </w:t>
      </w:r>
      <w:r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br/>
        <w:t xml:space="preserve">w szczególności z Biura Miejskiego Konserwatora Zabytków, Pełnomocnika Prezydenta Miasta ds. estetyki miasta oraz Wydziału Urbanistyki i Architektury Urzędu Miasta Poznania, </w:t>
      </w:r>
    </w:p>
    <w:p w:rsidR="00034005" w:rsidRDefault="00230A9C">
      <w:pPr>
        <w:pStyle w:val="Akapitzlist"/>
        <w:numPr>
          <w:ilvl w:val="0"/>
          <w:numId w:val="1"/>
        </w:numPr>
        <w:jc w:val="both"/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 xml:space="preserve">uzgodnienie spraw organizacyjno-technicznych z Wynajmującym i Zarządcą budynku, </w:t>
      </w:r>
      <w:r w:rsidR="0035460A"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br/>
      </w:r>
      <w:r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 xml:space="preserve">na którego ścianie bocznej mają zostać umiejscowione dodatkowe 2 nośniki, w szczególności </w:t>
      </w:r>
      <w:r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br/>
        <w:t xml:space="preserve">w zakresie sposobu montażu nośnika, </w:t>
      </w:r>
    </w:p>
    <w:p w:rsidR="00034005" w:rsidRDefault="00230A9C">
      <w:pPr>
        <w:pStyle w:val="Akapitzlist"/>
        <w:numPr>
          <w:ilvl w:val="0"/>
          <w:numId w:val="1"/>
        </w:numPr>
        <w:jc w:val="both"/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 xml:space="preserve">zakup nośników oraz innych niezbędnych materiałów do wykonania przedmiotu umowy, w tym także mocowań itd., </w:t>
      </w:r>
    </w:p>
    <w:p w:rsidR="00034005" w:rsidRDefault="00230A9C">
      <w:pPr>
        <w:pStyle w:val="Akapitzlist"/>
        <w:numPr>
          <w:ilvl w:val="0"/>
          <w:numId w:val="1"/>
        </w:numPr>
        <w:jc w:val="both"/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>transport i montaż,</w:t>
      </w:r>
    </w:p>
    <w:p w:rsidR="00034005" w:rsidRDefault="00230A9C">
      <w:pPr>
        <w:pStyle w:val="Akapitzlist"/>
        <w:numPr>
          <w:ilvl w:val="0"/>
          <w:numId w:val="1"/>
        </w:numPr>
        <w:jc w:val="both"/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 xml:space="preserve">wykonanie dokumentacji projektowej w niezbędnym zakresie (w tym wykonanie wstępnych projektów i projektów docelowych, w szczególności </w:t>
      </w:r>
      <w:r>
        <w:rPr>
          <w:rFonts w:ascii="Arial" w:hAnsi="Arial" w:cs="Arial"/>
          <w:color w:val="000000" w:themeColor="text1"/>
          <w:sz w:val="22"/>
          <w:szCs w:val="22"/>
        </w:rPr>
        <w:t>projektu montażu, wraz z dokumentacją powykonawczą</w:t>
      </w:r>
      <w:r w:rsidR="003B15C7">
        <w:rPr>
          <w:rFonts w:ascii="Arial" w:hAnsi="Arial" w:cs="Arial"/>
          <w:color w:val="000000" w:themeColor="text1"/>
          <w:sz w:val="22"/>
          <w:szCs w:val="22"/>
        </w:rPr>
        <w:t>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</w:p>
    <w:p w:rsidR="00034005" w:rsidRDefault="00230A9C">
      <w:pPr>
        <w:pStyle w:val="Akapitzlist"/>
        <w:numPr>
          <w:ilvl w:val="0"/>
          <w:numId w:val="1"/>
        </w:numPr>
        <w:jc w:val="both"/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>przedstawienie prototypów nośników przed montażem, celem ich akceptacji,</w:t>
      </w:r>
    </w:p>
    <w:p w:rsidR="00034005" w:rsidRPr="003B15C7" w:rsidRDefault="00230A9C" w:rsidP="003B15C7">
      <w:pPr>
        <w:pStyle w:val="Akapitzlist"/>
        <w:numPr>
          <w:ilvl w:val="0"/>
          <w:numId w:val="1"/>
        </w:numPr>
        <w:jc w:val="both"/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 xml:space="preserve">wykonanie wszelkich elementów niezbędnych do montażu nośników, zgodnie </w:t>
      </w:r>
      <w:r w:rsidR="003B15C7"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 xml:space="preserve">                                            </w:t>
      </w:r>
      <w:r w:rsidRPr="003B15C7"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 xml:space="preserve">z zatwierdzonymi projektami, </w:t>
      </w:r>
    </w:p>
    <w:p w:rsidR="00034005" w:rsidRDefault="00230A9C">
      <w:pPr>
        <w:pStyle w:val="Akapitzlist"/>
        <w:numPr>
          <w:ilvl w:val="0"/>
          <w:numId w:val="1"/>
        </w:numPr>
        <w:jc w:val="both"/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>przedstawienie zakresu prac dostosowujących obecną instalację  elektryczną lub w razie takiej potrzeby zaprojektowanie i wykonanie nowej instalacji do nośników wymagających zasilania.</w:t>
      </w:r>
    </w:p>
    <w:p w:rsidR="00034005" w:rsidRDefault="00034005">
      <w:pPr>
        <w:pStyle w:val="Akapitzlist"/>
        <w:ind w:left="720"/>
        <w:jc w:val="both"/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</w:pPr>
    </w:p>
    <w:p w:rsidR="00034005" w:rsidRDefault="00230A9C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Wymiary aktualnych nośników z ramą: 150,50 </w:t>
      </w:r>
      <w:r w:rsidR="00EC2729">
        <w:rPr>
          <w:rFonts w:ascii="Arial" w:hAnsi="Arial" w:cs="Arial"/>
          <w:color w:val="000000" w:themeColor="text1"/>
          <w:sz w:val="22"/>
          <w:szCs w:val="22"/>
        </w:rPr>
        <w:t xml:space="preserve">cm </w:t>
      </w:r>
      <w:r>
        <w:rPr>
          <w:rFonts w:ascii="Arial" w:hAnsi="Arial" w:cs="Arial"/>
          <w:color w:val="000000" w:themeColor="text1"/>
          <w:sz w:val="22"/>
          <w:szCs w:val="22"/>
        </w:rPr>
        <w:t>(szerokość) x 200,50</w:t>
      </w:r>
      <w:r w:rsidR="00EC2729">
        <w:rPr>
          <w:rFonts w:ascii="Arial" w:hAnsi="Arial" w:cs="Arial"/>
          <w:color w:val="000000" w:themeColor="text1"/>
          <w:sz w:val="22"/>
          <w:szCs w:val="22"/>
        </w:rPr>
        <w:t xml:space="preserve"> cm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(wysokość). Montaż nośników pionowy. W przypadku powstania luki montażowej, wykonanie odpowiedniej maskownicy. </w:t>
      </w:r>
    </w:p>
    <w:p w:rsidR="00034005" w:rsidRDefault="00034005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34005" w:rsidRDefault="00230A9C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Wszystkie nośniki muszą spełniać normy wynikające z prawa budowlanego, poczucia estetyki i architektonicznego ładu oraz zachowywać bezpieczne warunki przestrzenne. </w:t>
      </w:r>
    </w:p>
    <w:p w:rsidR="00034005" w:rsidRDefault="00230A9C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Konstrukcja nośników winna zapewnić ochronę przed dostawaniem się do wnętrza urządzeń zanieczyszczeń (np. pyłów) lub owadów, pozwalając utrzymać w prosty sposób nośniki przez długi czas </w:t>
      </w:r>
      <w:r>
        <w:rPr>
          <w:rFonts w:ascii="Arial" w:hAnsi="Arial" w:cs="Arial"/>
          <w:color w:val="000000" w:themeColor="text1"/>
          <w:sz w:val="22"/>
          <w:szCs w:val="22"/>
        </w:rPr>
        <w:br/>
        <w:t xml:space="preserve">w czystości.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Zastosowane materiały i urządzenia powinny gwarantować wysoką trwałość nośnika oraz odporność </w:t>
      </w:r>
      <w:r>
        <w:rPr>
          <w:rFonts w:ascii="Arial" w:hAnsi="Arial" w:cs="Arial"/>
          <w:color w:val="000000" w:themeColor="text1"/>
          <w:sz w:val="22"/>
          <w:szCs w:val="22"/>
        </w:rPr>
        <w:br/>
        <w:t xml:space="preserve">na wpływ czynników zewnętrznych. Nośniki przeznaczone na terminal Dworca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winny być przystosowane do pracy na zewnątrz – z uwagi na narażenie na działanie warunków atmosferycznych, takich jak wiatr, zmiany temperatury i wilgotności </w:t>
      </w:r>
      <w:r>
        <w:rPr>
          <w:rFonts w:ascii="Arial" w:hAnsi="Arial" w:cs="Arial"/>
          <w:sz w:val="22"/>
          <w:szCs w:val="22"/>
        </w:rPr>
        <w:t>(IP65)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. Zakres temperatury pracy: -30</w:t>
      </w:r>
      <w:r>
        <w:rPr>
          <w:rFonts w:ascii="Arial" w:eastAsiaTheme="minorHAnsi" w:hAnsi="Arial" w:cs="Arial"/>
          <w:color w:val="000000"/>
          <w:sz w:val="22"/>
          <w:szCs w:val="22"/>
          <w:vertAlign w:val="superscript"/>
          <w:lang w:eastAsia="en-US"/>
        </w:rPr>
        <w:t>o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C do 50-60</w:t>
      </w:r>
      <w:r>
        <w:rPr>
          <w:rFonts w:ascii="Arial" w:eastAsiaTheme="minorHAnsi" w:hAnsi="Arial" w:cs="Arial"/>
          <w:color w:val="000000"/>
          <w:sz w:val="22"/>
          <w:szCs w:val="22"/>
          <w:vertAlign w:val="superscript"/>
          <w:lang w:eastAsia="en-US"/>
        </w:rPr>
        <w:t>o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C. </w:t>
      </w:r>
      <w:r w:rsidR="00751EB5"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Wilgotność: 10-80%.</w:t>
      </w:r>
    </w:p>
    <w:p w:rsidR="00034005" w:rsidRDefault="00230A9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Elementy wykorzystanie do budowy nośników winny być wykonane ze materiałów nierdzewnych </w:t>
      </w:r>
      <w:r w:rsidR="00751EB5">
        <w:rPr>
          <w:rFonts w:ascii="Arial" w:hAnsi="Arial" w:cs="Arial"/>
          <w:color w:val="000000" w:themeColor="text1"/>
          <w:sz w:val="22"/>
          <w:szCs w:val="22"/>
        </w:rPr>
        <w:br/>
      </w:r>
      <w:r>
        <w:rPr>
          <w:rFonts w:ascii="Arial" w:hAnsi="Arial" w:cs="Arial"/>
          <w:color w:val="000000" w:themeColor="text1"/>
          <w:sz w:val="22"/>
          <w:szCs w:val="22"/>
        </w:rPr>
        <w:t>/profile aluminiowe, blacha typu LDX/, zapewniających ich długoletnie użytkowanie.</w:t>
      </w:r>
      <w:r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Przeszklenie </w:t>
      </w:r>
      <w:r w:rsidR="00751EB5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wykonywane winno być ze szkła hartowanego o wysokiej przepuszczalności światła, tak by zapewnić odpowiednią </w:t>
      </w:r>
      <w:r>
        <w:rPr>
          <w:rStyle w:val="Pogrubienie"/>
          <w:rFonts w:ascii="Arial" w:hAnsi="Arial" w:cs="Arial"/>
          <w:b w:val="0"/>
          <w:color w:val="000000" w:themeColor="text1"/>
          <w:sz w:val="22"/>
          <w:szCs w:val="22"/>
        </w:rPr>
        <w:t xml:space="preserve">czytelność </w:t>
      </w:r>
      <w:r>
        <w:rPr>
          <w:rFonts w:ascii="Arial" w:hAnsi="Arial" w:cs="Arial"/>
          <w:sz w:val="22"/>
          <w:szCs w:val="22"/>
        </w:rPr>
        <w:t>(zastosowanie szyby bezpiecznej antyrefleksyjnej o grubości min. 5 mm)</w:t>
      </w:r>
      <w:r>
        <w:rPr>
          <w:rStyle w:val="has-inline-color"/>
          <w:rFonts w:ascii="Arial" w:hAnsi="Arial" w:cs="Arial"/>
          <w:color w:val="000000" w:themeColor="text1"/>
          <w:sz w:val="22"/>
          <w:szCs w:val="22"/>
        </w:rPr>
        <w:t>.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ama nośnika winna być zamykana na klucz. Powinna umożliwiać łatwy dostęp serwisowy. </w:t>
      </w:r>
    </w:p>
    <w:p w:rsidR="00034005" w:rsidRDefault="00230A9C">
      <w:pPr>
        <w:jc w:val="both"/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 xml:space="preserve">Przed przystąpieniem do prac Wykonawca zobowiązany będzie przedłożyć Zamawiającemu wszelkie deklaracje techniczne i dopuszczenia do obrotu zastosowanych materiałów i urządzeń. </w:t>
      </w:r>
    </w:p>
    <w:p w:rsidR="00034005" w:rsidRDefault="00034005">
      <w:pPr>
        <w:jc w:val="both"/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</w:pPr>
    </w:p>
    <w:p w:rsidR="00034005" w:rsidRDefault="00230A9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Pozostałe dane techniczne w zakresie nośników:</w:t>
      </w:r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1980"/>
        <w:gridCol w:w="7082"/>
      </w:tblGrid>
      <w:tr w:rsidR="00034005">
        <w:tc>
          <w:tcPr>
            <w:tcW w:w="1980" w:type="dxa"/>
            <w:shd w:val="clear" w:color="auto" w:fill="auto"/>
          </w:tcPr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Panel</w:t>
            </w:r>
          </w:p>
        </w:tc>
        <w:tc>
          <w:tcPr>
            <w:tcW w:w="7081" w:type="dxa"/>
            <w:shd w:val="clear" w:color="auto" w:fill="auto"/>
          </w:tcPr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Przekątna monitora: 65” – do potwierdzenia pod kątem wielkości </w:t>
            </w:r>
            <w:r w:rsidR="00495EAA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br/>
            </w: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w odniesieniu do wymiarów miejsca </w:t>
            </w:r>
          </w:p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Typ matrycy: IPS</w:t>
            </w:r>
          </w:p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Rozdzielczość, proporcje ekranu: min. 3840x2160; 16:9</w:t>
            </w:r>
          </w:p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Jasność: min. 400 cd/m²</w:t>
            </w:r>
          </w:p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Kąt widzenia: min. 178x178 stopni</w:t>
            </w:r>
          </w:p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Czas reakcji matrycy: min 12ms</w:t>
            </w:r>
          </w:p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Możliwość pracy w pionie</w:t>
            </w:r>
          </w:p>
          <w:p w:rsidR="00034005" w:rsidRDefault="00230A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Citylight winien być wyposażony w ekran klasy przemysłowej z możliwością nieprzerwanej pracy 24/7.</w:t>
            </w:r>
          </w:p>
        </w:tc>
      </w:tr>
      <w:tr w:rsidR="00034005">
        <w:tc>
          <w:tcPr>
            <w:tcW w:w="1980" w:type="dxa"/>
            <w:shd w:val="clear" w:color="auto" w:fill="auto"/>
          </w:tcPr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Podłączenia</w:t>
            </w:r>
          </w:p>
        </w:tc>
        <w:tc>
          <w:tcPr>
            <w:tcW w:w="7081" w:type="dxa"/>
            <w:shd w:val="clear" w:color="auto" w:fill="auto"/>
          </w:tcPr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Wejścia minimum:</w:t>
            </w:r>
          </w:p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RGB – analog D-SUB, DVI-D</w:t>
            </w:r>
          </w:p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Video – HDMI, DisplayPort</w:t>
            </w:r>
          </w:p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USB – USB, SD card</w:t>
            </w:r>
          </w:p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Wyjście audio dla zewnętrznych głośników</w:t>
            </w:r>
          </w:p>
        </w:tc>
      </w:tr>
      <w:tr w:rsidR="00034005">
        <w:tc>
          <w:tcPr>
            <w:tcW w:w="1980" w:type="dxa"/>
            <w:shd w:val="clear" w:color="auto" w:fill="auto"/>
          </w:tcPr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Sterowanie z zewnątrz, czujniki zewnętrzne</w:t>
            </w:r>
          </w:p>
        </w:tc>
        <w:tc>
          <w:tcPr>
            <w:tcW w:w="7081" w:type="dxa"/>
            <w:shd w:val="clear" w:color="auto" w:fill="auto"/>
          </w:tcPr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RS232C (In/Out), RJ45, IR Receiver, Pixel Sensor, Ambient Light</w:t>
            </w:r>
          </w:p>
        </w:tc>
      </w:tr>
      <w:tr w:rsidR="00034005">
        <w:tc>
          <w:tcPr>
            <w:tcW w:w="1980" w:type="dxa"/>
            <w:shd w:val="clear" w:color="auto" w:fill="auto"/>
          </w:tcPr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Zasilanie</w:t>
            </w:r>
          </w:p>
        </w:tc>
        <w:tc>
          <w:tcPr>
            <w:tcW w:w="7081" w:type="dxa"/>
            <w:shd w:val="clear" w:color="auto" w:fill="auto"/>
          </w:tcPr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Pobór mocy monitora – max 170 (W)</w:t>
            </w:r>
          </w:p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Wbudowany zasilacz</w:t>
            </w:r>
          </w:p>
        </w:tc>
      </w:tr>
      <w:tr w:rsidR="00034005">
        <w:tc>
          <w:tcPr>
            <w:tcW w:w="1980" w:type="dxa"/>
            <w:shd w:val="clear" w:color="auto" w:fill="auto"/>
          </w:tcPr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Waga</w:t>
            </w:r>
          </w:p>
        </w:tc>
        <w:tc>
          <w:tcPr>
            <w:tcW w:w="7081" w:type="dxa"/>
            <w:shd w:val="clear" w:color="auto" w:fill="auto"/>
          </w:tcPr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Monitor bez obudowy – max 30 kg</w:t>
            </w:r>
          </w:p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Monitor z obudową – max 60 kg</w:t>
            </w:r>
          </w:p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Typ mocowania monitora – VESA 300x300; inny sposób wymagać będzie akceptacji /potwierdzenia/</w:t>
            </w:r>
          </w:p>
        </w:tc>
      </w:tr>
      <w:tr w:rsidR="00034005">
        <w:tc>
          <w:tcPr>
            <w:tcW w:w="1980" w:type="dxa"/>
            <w:shd w:val="clear" w:color="auto" w:fill="auto"/>
          </w:tcPr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Dostępne złącza</w:t>
            </w:r>
          </w:p>
        </w:tc>
        <w:tc>
          <w:tcPr>
            <w:tcW w:w="7081" w:type="dxa"/>
            <w:shd w:val="clear" w:color="auto" w:fill="auto"/>
          </w:tcPr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Złącze zasilania IEC</w:t>
            </w:r>
          </w:p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Port sieciowy RJ45</w:t>
            </w:r>
          </w:p>
        </w:tc>
      </w:tr>
      <w:tr w:rsidR="00034005">
        <w:tc>
          <w:tcPr>
            <w:tcW w:w="1980" w:type="dxa"/>
            <w:shd w:val="clear" w:color="auto" w:fill="auto"/>
          </w:tcPr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Dodatkowe funkcjonalności monitorów</w:t>
            </w:r>
          </w:p>
        </w:tc>
        <w:tc>
          <w:tcPr>
            <w:tcW w:w="7081" w:type="dxa"/>
            <w:shd w:val="clear" w:color="auto" w:fill="auto"/>
          </w:tcPr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Wbudowany odtwarzacz plików multimedialnych.</w:t>
            </w:r>
          </w:p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Wbudowana przeglądarka internetowa – możliwość wyświetlania stron internetowych.</w:t>
            </w:r>
          </w:p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Wbudowany moduł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WiFi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.</w:t>
            </w:r>
          </w:p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Niezależny moduł umożl</w:t>
            </w:r>
            <w:r w:rsidRPr="00495EAA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i</w:t>
            </w: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wiający zdalny reset monitora – niezależne dodatkowe urządzenie sterowane za pomocą łączności </w:t>
            </w:r>
            <w:proofErr w:type="spellStart"/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WiFi</w:t>
            </w:r>
            <w:proofErr w:type="spellEnd"/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umożliwiające sprzętowe wyłączenie/włączenie zasilania w urządzeniu.</w:t>
            </w:r>
          </w:p>
        </w:tc>
      </w:tr>
      <w:tr w:rsidR="00034005">
        <w:tc>
          <w:tcPr>
            <w:tcW w:w="1980" w:type="dxa"/>
            <w:shd w:val="clear" w:color="auto" w:fill="auto"/>
          </w:tcPr>
          <w:p w:rsidR="00034005" w:rsidRDefault="00230A9C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Inne:</w:t>
            </w:r>
          </w:p>
        </w:tc>
        <w:tc>
          <w:tcPr>
            <w:tcW w:w="7081" w:type="dxa"/>
            <w:shd w:val="clear" w:color="auto" w:fill="auto"/>
          </w:tcPr>
          <w:p w:rsidR="00034005" w:rsidRDefault="00230A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Wyświetlacz cyfrowy wyposażony w inteligentny system chłodzenia </w:t>
            </w:r>
            <w:r w:rsidR="00F54840"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t>i ogrzewania – w przypadku LCD.</w:t>
            </w:r>
          </w:p>
          <w:p w:rsidR="00034005" w:rsidRDefault="00230A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Drzwi unoszone na siłownikach gazowych. </w:t>
            </w:r>
          </w:p>
          <w:p w:rsidR="00034005" w:rsidRDefault="00230A9C">
            <w:pPr>
              <w:jc w:val="both"/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Opcjonalny system operacyjny: Win10, I5, 8 GB i 128 GB SSD / Android 5.0</w:t>
            </w:r>
          </w:p>
          <w:p w:rsidR="00034005" w:rsidRDefault="00230A9C">
            <w:pPr>
              <w:jc w:val="both"/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Menu wielojęzykowe</w:t>
            </w:r>
          </w:p>
        </w:tc>
      </w:tr>
    </w:tbl>
    <w:p w:rsidR="00034005" w:rsidRDefault="00034005">
      <w:pPr>
        <w:jc w:val="both"/>
        <w:rPr>
          <w:rFonts w:ascii="Arial" w:hAnsi="Arial" w:cs="Arial"/>
          <w:sz w:val="22"/>
          <w:szCs w:val="22"/>
        </w:rPr>
      </w:pP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Konstrukcja nośników oraz zastosowany system montażu winny uniemożliwiać osobom postronnym dostęp do ich wnętrza oraz w ramach zabezpieczenia przed aktami wandalizmu ich zerwanie lub oderwanie. </w:t>
      </w:r>
    </w:p>
    <w:p w:rsidR="00034005" w:rsidRDefault="00034005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034005" w:rsidRDefault="00230A9C">
      <w:pPr>
        <w:jc w:val="both"/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 xml:space="preserve">Wykonawca zobowiązany będzie do zachowania kolorystyki zgodnie z koncepcją, o której mowa wyżej oraz Systemem Informacji Miejskiej. </w:t>
      </w:r>
    </w:p>
    <w:p w:rsidR="00034005" w:rsidRDefault="00034005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034005" w:rsidRPr="00353382" w:rsidRDefault="00230A9C" w:rsidP="0035338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Zamawiający oczekuje udzielenia przez Wykonawcę gwarancji jakości na nośniki, prace, użyte materiały i urządzenia na okres minimum 3 lat. Termin gwarancji rozpocznie swój bieg od dnia wykonania przedmiotu umowy i podpisania protokołu odbioru technicznego bez zgłoszonych wad. </w:t>
      </w:r>
    </w:p>
    <w:p w:rsidR="00034005" w:rsidRDefault="00353382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Składając ofertę Najemca winien uwzględnić </w:t>
      </w:r>
      <w:r w:rsidR="00230A9C">
        <w:rPr>
          <w:rFonts w:ascii="Arial" w:hAnsi="Arial" w:cs="Arial"/>
          <w:color w:val="000000" w:themeColor="text1"/>
          <w:sz w:val="22"/>
          <w:szCs w:val="22"/>
        </w:rPr>
        <w:t xml:space="preserve">wszelkie koszty związane z realizacją zadania, </w:t>
      </w:r>
      <w:r w:rsidR="00230A9C">
        <w:rPr>
          <w:rFonts w:ascii="Arial" w:hAnsi="Arial" w:cs="Arial"/>
          <w:color w:val="000000" w:themeColor="text1"/>
          <w:sz w:val="22"/>
          <w:szCs w:val="22"/>
        </w:rPr>
        <w:br/>
        <w:t>w tym prac wskazanych powyżej, oraz robociznę.</w:t>
      </w:r>
    </w:p>
    <w:p w:rsidR="00034005" w:rsidRDefault="00034005">
      <w:pPr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</w:p>
    <w:p w:rsidR="00034005" w:rsidRDefault="00034005">
      <w:pPr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</w:p>
    <w:p w:rsidR="00034005" w:rsidRDefault="00230A9C">
      <w:pPr>
        <w:jc w:val="both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2. W ramach zamówienia wymagane jest opracowanie dokumentacji i wykonawstwo robót elektrycznych w zakresie: </w:t>
      </w:r>
    </w:p>
    <w:p w:rsidR="00034005" w:rsidRDefault="00034005">
      <w:pPr>
        <w:rPr>
          <w:rFonts w:ascii="Arial" w:eastAsiaTheme="minorHAnsi" w:hAnsi="Arial" w:cs="Arial"/>
          <w:b/>
          <w:bCs/>
          <w:color w:val="000000"/>
          <w:lang w:eastAsia="en-US"/>
        </w:rPr>
      </w:pP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A. Wykonanie inwentaryzacji dla potrzeb dokumentacji stanu istniejącego (w tym inwentaryzacja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  <w:t>w terenie),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B. Rozpoznanie wstępnego zakresu prac,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C. Sporządzenie dokumentacji dla potrzeb instalacji elektrycznej,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D. Sporządzenie harmonogramu realizacji prac,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E. Wszystkie prace montażowe należy poprzedzić opracowaniem projektowym przedłożonym do akceptacji Zamawiającemu,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F. Przed przystąpieniem do prac należy przedłożyć Zamawiającemu do akceptacji wszelkie deklaracje techniczne i dopuszczenia do obrotu zastosowanych materiałów i urządzeń, </w:t>
      </w:r>
    </w:p>
    <w:p w:rsidR="00034005" w:rsidRDefault="00230A9C">
      <w:pPr>
        <w:jc w:val="both"/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G. Po uzyskaniu akceptacji opracowania projektowego oraz harmonogramu prac, Wykonawca przystąpi do prac tj.: </w:t>
      </w:r>
      <w:r w:rsidRPr="000D69DD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odłączenia od istniejących linii zasilających WLZ trzech</w:t>
      </w:r>
      <w:r w:rsidRPr="000D69DD"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 starych nośników w formie gablot reklamowych oraz podłączenie w ich miejsce trzech nowych nośników outdoorowych typu </w:t>
      </w:r>
      <w:bookmarkStart w:id="2" w:name="_Hlk872681551"/>
      <w:r w:rsidRPr="000D69DD"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>citylight</w:t>
      </w:r>
      <w:bookmarkEnd w:id="2"/>
      <w:r w:rsidRPr="000D69DD"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 digital jak również poprowadzenie przewodów zasilających do dwóch nowych nośników outdoorowych typu citylight rollposter i ich podłączenie.</w:t>
      </w:r>
    </w:p>
    <w:p w:rsidR="00034005" w:rsidRPr="000D69DD" w:rsidRDefault="000D69DD">
      <w:pPr>
        <w:rPr>
          <w:rFonts w:eastAsiaTheme="minorHAnsi"/>
        </w:rPr>
      </w:pPr>
      <w:r w:rsidRPr="000D69DD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H</w:t>
      </w:r>
      <w:r w:rsidR="00230A9C" w:rsidRPr="000D69DD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. Montaż</w:t>
      </w:r>
      <w:r w:rsidRPr="000D69DD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</w:t>
      </w:r>
      <w:r w:rsidR="00230A9C" w:rsidRPr="000D69DD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nośników </w:t>
      </w:r>
      <w:bookmarkStart w:id="3" w:name="_Hlk8726815511"/>
      <w:r w:rsidR="00230A9C" w:rsidRPr="000D69DD"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>citylight</w:t>
      </w:r>
      <w:bookmarkEnd w:id="3"/>
      <w:r w:rsidR="00230A9C" w:rsidRPr="000D69DD"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 digital oraz citylight rollposter</w:t>
      </w:r>
      <w:r w:rsidR="00230A9C" w:rsidRPr="000D69DD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:</w:t>
      </w:r>
    </w:p>
    <w:p w:rsidR="00034005" w:rsidRPr="000D69DD" w:rsidRDefault="00230A9C">
      <w:r w:rsidRPr="000D69DD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- wytyczenie trasy dwóch nowych linii zasilających dla nośników citylight rollposter (punkty wpięcia przewodów zasilających na zaciskach zasilających przy nośnikach citylight digital),</w:t>
      </w:r>
    </w:p>
    <w:p w:rsidR="00034005" w:rsidRDefault="00230A9C">
      <w:pPr>
        <w:tabs>
          <w:tab w:val="left" w:pos="2475"/>
        </w:tabs>
        <w:rPr>
          <w:rFonts w:eastAsiaTheme="minorHAnsi"/>
        </w:rPr>
      </w:pPr>
      <w:r w:rsidRPr="000D69DD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- montaż linii zasilających dla nośników citylight rollposter układanych w oddzielnych rurach lub kanałach PVC (</w:t>
      </w:r>
      <w:r w:rsidR="00A91128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Wynajmujący</w:t>
      </w:r>
      <w:bookmarkStart w:id="4" w:name="_GoBack"/>
      <w:bookmarkEnd w:id="4"/>
      <w:r w:rsidRPr="000D69DD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dopuszcza zastosowanie koryt metalowych),</w:t>
      </w:r>
    </w:p>
    <w:p w:rsidR="00034005" w:rsidRPr="000D69DD" w:rsidRDefault="00230A9C">
      <w:pPr>
        <w:tabs>
          <w:tab w:val="left" w:pos="2475"/>
        </w:tabs>
        <w:rPr>
          <w:rFonts w:eastAsiaTheme="minorHAnsi"/>
        </w:rPr>
      </w:pPr>
      <w:r w:rsidRPr="000D69DD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- montaż trzech nowych nośników</w:t>
      </w:r>
      <w:r w:rsidRPr="000D69DD"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 outdoorowych typu </w:t>
      </w:r>
      <w:bookmarkStart w:id="5" w:name="_Hlk8726815512"/>
      <w:r w:rsidRPr="000D69DD"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>citylight</w:t>
      </w:r>
      <w:bookmarkEnd w:id="5"/>
      <w:r w:rsidRPr="000D69DD"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 digital w miejscu starych  gablot reklamowych,</w:t>
      </w:r>
    </w:p>
    <w:p w:rsidR="00034005" w:rsidRPr="000D69DD" w:rsidRDefault="00230A9C">
      <w:pPr>
        <w:tabs>
          <w:tab w:val="left" w:pos="2475"/>
        </w:tabs>
        <w:rPr>
          <w:rFonts w:eastAsiaTheme="minorHAnsi"/>
        </w:rPr>
      </w:pPr>
      <w:r w:rsidRPr="000D69DD"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>- montaż dwóch nowych nośników outdoorowych</w:t>
      </w:r>
      <w:r w:rsidR="000E1C32"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 </w:t>
      </w:r>
      <w:r w:rsidRPr="000D69DD"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>typu citylight rollposter w wyznaczonych miejscach,</w:t>
      </w:r>
    </w:p>
    <w:p w:rsidR="00034005" w:rsidRDefault="00230A9C">
      <w:pPr>
        <w:tabs>
          <w:tab w:val="left" w:pos="2475"/>
        </w:tabs>
      </w:pPr>
      <w:r w:rsidRPr="000D69DD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montaż przewodów uziemienia oraz podłączenie do nośników </w:t>
      </w:r>
      <w:bookmarkStart w:id="6" w:name="_Hlk87268155111"/>
      <w:r w:rsidRPr="000D69DD"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>citylight</w:t>
      </w:r>
      <w:bookmarkEnd w:id="6"/>
      <w:r w:rsidRPr="000D69DD">
        <w:rPr>
          <w:rFonts w:ascii="Arial" w:eastAsiaTheme="minorHAnsi" w:hAnsi="Arial" w:cs="Arial"/>
          <w:bCs/>
          <w:color w:val="000000" w:themeColor="text1"/>
          <w:sz w:val="22"/>
          <w:szCs w:val="22"/>
          <w:lang w:eastAsia="en-US"/>
        </w:rPr>
        <w:t xml:space="preserve"> digital oraz citylight rollposter</w:t>
      </w:r>
      <w:r w:rsidRPr="000D69DD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,</w:t>
      </w:r>
    </w:p>
    <w:p w:rsidR="00034005" w:rsidRDefault="00230A9C"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wykonanie pomiarów </w:t>
      </w:r>
      <w:r w:rsidRPr="000D69DD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elektrycznych oraz sprawdzenie poprawności działania nośników reklamowych oraz ich oprogramowania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, </w:t>
      </w:r>
    </w:p>
    <w:p w:rsidR="00034005" w:rsidRDefault="00230A9C">
      <w:pPr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- uruchomienie instalacji,</w:t>
      </w:r>
    </w:p>
    <w:p w:rsidR="00034005" w:rsidRDefault="00230A9C">
      <w:pPr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wykonanie pełnej dokumentacji powykonawczej.  </w:t>
      </w:r>
    </w:p>
    <w:p w:rsidR="00034005" w:rsidRDefault="00034005">
      <w:pPr>
        <w:tabs>
          <w:tab w:val="left" w:pos="2775"/>
        </w:tabs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034005" w:rsidRDefault="00230A9C">
      <w:pPr>
        <w:rPr>
          <w:rFonts w:ascii="Arial" w:eastAsiaTheme="minorHAnsi" w:hAnsi="Arial" w:cs="Arial"/>
          <w:b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color w:val="000000"/>
          <w:sz w:val="22"/>
          <w:szCs w:val="22"/>
          <w:lang w:eastAsia="en-US"/>
        </w:rPr>
        <w:t>Dodatkowe wytyczne:</w:t>
      </w:r>
    </w:p>
    <w:p w:rsidR="00034005" w:rsidRDefault="00034005">
      <w:pPr>
        <w:rPr>
          <w:rFonts w:ascii="Arial" w:eastAsiaTheme="minorHAnsi" w:hAnsi="Arial" w:cs="Arial"/>
          <w:b/>
          <w:color w:val="000000"/>
          <w:sz w:val="22"/>
          <w:szCs w:val="22"/>
          <w:lang w:eastAsia="en-US"/>
        </w:rPr>
      </w:pPr>
    </w:p>
    <w:p w:rsidR="00034005" w:rsidRDefault="00230A9C">
      <w:pPr>
        <w:jc w:val="both"/>
      </w:pPr>
      <w:r w:rsidRPr="000D69DD">
        <w:rPr>
          <w:rFonts w:ascii="Arial" w:eastAsiaTheme="minorHAnsi" w:hAnsi="Arial" w:cs="Arial"/>
          <w:b/>
          <w:color w:val="000000"/>
          <w:sz w:val="22"/>
          <w:szCs w:val="22"/>
          <w:lang w:eastAsia="en-US"/>
        </w:rPr>
        <w:t>Przedmiar robót elektrycznych – na żądanie oferenta.</w:t>
      </w:r>
    </w:p>
    <w:p w:rsidR="00034005" w:rsidRDefault="00034005">
      <w:pPr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034005" w:rsidRDefault="00034005">
      <w:pPr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Podczas realizacji zadania należy ściśle współpracować ze służbami Dworca autobusowego Poznań Główny, w szczególności Kierownikiem Dworca, zgodnie z zapisami Istotnych Postanowień Umowy (oraz najemcami powierzchni w przypadku takiej konieczności), by do minimum zredukować uciążliwość prowadzonych prac dla funkcjonowania obiektu.</w:t>
      </w:r>
    </w:p>
    <w:p w:rsidR="00034005" w:rsidRDefault="00230A9C">
      <w:pPr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Zamawiający nie przewiduje wyłączenia z eksploatacji istniejącej rozdzielnicy głównej. </w:t>
      </w:r>
    </w:p>
    <w:p w:rsidR="00034005" w:rsidRDefault="00230A9C">
      <w:pPr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   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Wszelkie wyłączenia z zasilania poszczególnych obwodów muszą być uzgodnione i potwierdzone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  <w:t>z Kierownikiem Dworca.</w:t>
      </w:r>
    </w:p>
    <w:p w:rsidR="00034005" w:rsidRDefault="00230A9C">
      <w:pPr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 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lastRenderedPageBreak/>
        <w:t xml:space="preserve">W przypadku konieczności wyłączenia zasilania sieciowego należy zagwarantować zasilanie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  <w:t>z agregatu prądotwórczego o odpowiedniej mocy.</w:t>
      </w:r>
    </w:p>
    <w:p w:rsidR="00034005" w:rsidRDefault="00034005">
      <w:pPr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034005" w:rsidRDefault="00230A9C">
      <w:pPr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Instalacje wykonać zgodnie z wg PN-HD 60364-5-54 </w:t>
      </w:r>
    </w:p>
    <w:p w:rsidR="00034005" w:rsidRDefault="00034005">
      <w:pPr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034005" w:rsidRDefault="00034005">
      <w:pPr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034005" w:rsidRDefault="00230A9C">
      <w:pPr>
        <w:rPr>
          <w:rFonts w:ascii="Arial" w:eastAsiaTheme="minorHAnsi" w:hAnsi="Arial" w:cs="Arial"/>
          <w:b/>
          <w:bCs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sz w:val="22"/>
          <w:szCs w:val="22"/>
          <w:lang w:eastAsia="en-US"/>
        </w:rPr>
        <w:t>Uwagi końcowe</w:t>
      </w:r>
    </w:p>
    <w:p w:rsidR="00034005" w:rsidRDefault="00230A9C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· 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Konieczność ingerencji w zaplombowane elementy instalacji wykonać w porozumieniu </w: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  <w:t>z zakładem energetycznym zgodnie z obowiązującymi w Enea Operator procedurami.</w:t>
      </w:r>
    </w:p>
    <w:p w:rsidR="00034005" w:rsidRDefault="00230A9C">
      <w:pPr>
        <w:jc w:val="both"/>
        <w:rPr>
          <w:rFonts w:ascii="Arial" w:eastAsia="ArialNarrow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·  </w:t>
      </w:r>
      <w:r>
        <w:rPr>
          <w:rFonts w:ascii="Arial" w:eastAsia="ArialNarrow" w:hAnsi="Arial" w:cs="Arial"/>
          <w:color w:val="000000"/>
          <w:sz w:val="22"/>
          <w:szCs w:val="22"/>
        </w:rPr>
        <w:t xml:space="preserve">Całość prac należy wykonać zgodnie z obowiązującymi przepisami zarządzeniami i normami, </w:t>
      </w:r>
      <w:r>
        <w:rPr>
          <w:rFonts w:ascii="Arial" w:eastAsia="ArialNarrow" w:hAnsi="Arial" w:cs="Arial"/>
          <w:color w:val="000000"/>
          <w:sz w:val="22"/>
          <w:szCs w:val="22"/>
        </w:rPr>
        <w:br/>
        <w:t>a zwłaszcza:</w:t>
      </w:r>
    </w:p>
    <w:p w:rsidR="00034005" w:rsidRDefault="00230A9C">
      <w:pPr>
        <w:jc w:val="both"/>
        <w:rPr>
          <w:rFonts w:ascii="Arial" w:eastAsia="ArialNarrow" w:hAnsi="Arial" w:cs="Arial"/>
          <w:sz w:val="22"/>
          <w:szCs w:val="22"/>
        </w:rPr>
      </w:pPr>
      <w:r>
        <w:rPr>
          <w:rFonts w:ascii="Arial" w:eastAsia="ArialNarrow" w:hAnsi="Arial" w:cs="Arial"/>
          <w:color w:val="000000"/>
          <w:sz w:val="22"/>
          <w:szCs w:val="22"/>
        </w:rPr>
        <w:t>Przepisami Budowy Urządzeń Elektroenergetycznych oraz Warunkami Technicznymi Odbioru Robót</w:t>
      </w:r>
      <w:r>
        <w:rPr>
          <w:rFonts w:ascii="Arial" w:eastAsia="ArialNarrow" w:hAnsi="Arial" w:cs="Arial"/>
          <w:sz w:val="22"/>
          <w:szCs w:val="22"/>
        </w:rPr>
        <w:t xml:space="preserve"> </w:t>
      </w:r>
      <w:r>
        <w:rPr>
          <w:rFonts w:ascii="Arial" w:eastAsia="ArialNarrow" w:hAnsi="Arial" w:cs="Arial"/>
          <w:color w:val="000000"/>
          <w:sz w:val="22"/>
          <w:szCs w:val="22"/>
        </w:rPr>
        <w:t>Budowlano Montażowych „Instalacje Elektryczne” oraz zgodnie z projektem wykonawczym i standardami Enea Operator sp. z o. o.;</w:t>
      </w:r>
    </w:p>
    <w:p w:rsidR="00034005" w:rsidRDefault="00034005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Dokumentacja winna być wykonana zgodnie z następującymi przepisami: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Obwieszczenie Rozporządzenie Ministra Transportu, Budownictwa i Gospodarki Morskiej z dnia 25 kwietnia 2012 r. w sprawie szczegółowego zakresu i formy projektu budowlanego, Dz.U. 2012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  <w:t>nr 0 poz. 462 (z późniejszymi zmianami).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- Obwieszczenie Ministra Transportu, Budownictwa i Gospodarki Morskiej z dnia 10 maja 2013 r. w sprawie ogłoszenia jednolitego tekstu rozporządzenia Ministra Infrastruktury w sprawie szczegółowego zakresu i formy dokumentacji projektowej, specyfikacji technicznych wykonania i odbioru robót budowlanych oraz programu funkcjonalno-użytkowego, Dz.U. 2013 nr 0 poz. 1129.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Obwieszczenie Marszałka Sejmu Rzeczypospolitej Polskiej z dnia 8 września 2015 r. w sprawie ogłoszenia jednolitego tekstu ustawy o normalizacji, Dz.U. 2015 nr 0 poz. 1483.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i/>
          <w:iCs/>
          <w:color w:val="000000"/>
          <w:sz w:val="22"/>
          <w:szCs w:val="22"/>
          <w:lang w:eastAsia="en-US"/>
        </w:rPr>
        <w:t xml:space="preserve">-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Obwieszczenie Marszałka Sejmu Ustawa z dnia 25 czerwca 2015r., Dz.U. 2015 poz. 1165,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  <w:t xml:space="preserve">o zmianie ustawy o wyrobach budowlanych, ustawy - Prawo budowlane oraz ustawy o zmianie ustawy o wyrobach budowlanych oraz ustawy o systemie oceny zgodności.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i/>
          <w:iCs/>
          <w:color w:val="000000"/>
          <w:sz w:val="22"/>
          <w:szCs w:val="22"/>
          <w:lang w:eastAsia="en-US"/>
        </w:rPr>
        <w:t xml:space="preserve">-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Ustawa z dnia 25 czerwca 2015r., Dz.U. 2015 poz. 1165, o zmianie ustawy o wyrobach budowlanych, ustawy - Prawo budowlane oraz ustawy o zmianie ustawy o wyrobach budowlanych oraz ustawy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  <w:t xml:space="preserve">o systemie oceny zgodności.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Obwieszczenie Marszałka Sejmu Rzeczypospolitej Polskiej z dnia 27 stycznia 2016r. w sprawie ogłoszenia jednolitego tekstu ustawy o ochronie przeciwpożarowej, Dz.U. 2016 nr 0 poz. 191.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Ustawa z dnia 15 stycznia 2015 r. o zmianie ustawy o odpadach oraz niektórych innych ustaw, Dz.U. 2015 nr 0 poz. 122.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Obwieszczenie Marszałka Sejmu Rzeczypospolitej Polskiej z dnia 19 kwietnia 2016 r. w sprawie ogłoszenia jednolitego tekstu ustawy – Prawo ochrony środowiska, Dz.U. 2016 nr 0 poz. 672.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Obwieszczenie Marszałka Sejmu Rzeczypospolitej Polskiej z dnia 29 kwietnia 2016 r. w sprawie ogłoszenia jednolitego tekstu ustawy o systemie oceny zgodności, Dz.U. 2016 nr 0 poz. 655.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Rozporządzenie Ministra Infrastruktury i Rozwoju z dnia 11 września 2014 r. w sprawie samodzielnych funkcji technicznych w budownictwie, Dz.U. 2014 nr 0 poz. 1278.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Rozporządzenie Ministra Infrastruktury i Rozwoju z dnia 16 października 2015 r. zmieniające rozporządzenie w sprawie dziennika budowy, montażu i rozbiórki, tablicy informacyjnej oraz ogłoszenia zawierającego dane dotyczące bezpieczeństwa pracy i ochrony zdrowia, Dz.U. 2015 nr 0 poz. 1775. </w:t>
      </w:r>
    </w:p>
    <w:p w:rsidR="00034005" w:rsidRDefault="00230A9C">
      <w:pPr>
        <w:spacing w:after="29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Rozporządzenie Ministra Infrastruktury z dnia 6 lutego 2003 r. w sprawie bezpieczeństwa i higieny pracy podczas wykonywania robót budowlanych (Dz.U.03.47.401). </w:t>
      </w:r>
    </w:p>
    <w:p w:rsidR="00034005" w:rsidRDefault="00230A9C">
      <w:pPr>
        <w:spacing w:after="29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- Rozporządzenie Ministra Pracy i Polityki Społecznej z dnia 4 sierpnia 2011 r. zmieniające rozporządzenie w sprawie ogólnych przepisów bezpieczeństwa i higieny pracy, Dz.U. 2011 nr 173 poz. 1034.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Rozporządzenie M.P. 1996 nr 19 poz. 231 Zarządzenie Ministra Zdrowia i Opieki Społecznej z dnia 12 marca 1996r. w sprawie dopuszczalnych stężeń i natężeń czynników szkodliwych dla zdrowia,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lastRenderedPageBreak/>
        <w:t xml:space="preserve">wydzielanych przez materiały budowlane, urządzenia i elementy wyposażenia w pomieszczeniach przeznaczonych na pobyt ludzi. </w:t>
      </w:r>
    </w:p>
    <w:p w:rsidR="00034005" w:rsidRDefault="00230A9C">
      <w:pPr>
        <w:spacing w:after="29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Rozporządzenie Ministra Spraw Wewnętrznych i Administracji z dnia 7 czerwca 2010r. w sprawie ochrony przeciwpożarowej budynków, innych obiektów budowlanych i terenów, Dz.U. 2010 nr 109 poz. 719. </w:t>
      </w:r>
    </w:p>
    <w:p w:rsidR="00034005" w:rsidRDefault="00230A9C">
      <w:pPr>
        <w:spacing w:after="29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- Rozporządzenie Ministra Spraw Wewnętrznych i Administracji z dnia 24 lipca 2009 r. w sprawie przeciwpożarowego zaopatrzenia w wodę oraz dróg pożarowych, Dz.U. 2009 nr 124 poz. 1030.</w:t>
      </w:r>
    </w:p>
    <w:p w:rsidR="00034005" w:rsidRDefault="00230A9C">
      <w:pPr>
        <w:spacing w:after="29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Obwieszczenie Ministra Infrastruktury i Rozwoju z dnia 17 lipca 2015 r. w sprawie ogłoszenia jednolitego tekstu rozporządzenia Ministra Infrastruktury w sprawie warunków technicznych, jakim powinny odpowiadać budynki i ich usytuowanie, Dz.U. 2015 nr 0 poz. 1422. </w:t>
      </w:r>
    </w:p>
    <w:p w:rsidR="00034005" w:rsidRDefault="00230A9C">
      <w:pPr>
        <w:spacing w:after="29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Rozporządzenie Ministra Infrastruktury z dnia 18 maja 2004 r. w sprawie określenia metod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  <w:t>i podstaw sporządzania kosztorysu inwestorskiego, obliczania planowanych kosztów prac projektowych oraz planowanych kosztów robót budowlanych określonych w programie funkcjonalno-użytkowym (Dz. U. Nr 130, poz. 1389).</w:t>
      </w:r>
    </w:p>
    <w:p w:rsidR="00034005" w:rsidRDefault="00230A9C">
      <w:pPr>
        <w:spacing w:after="29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Rozporządzenie Komisji WE nr 213/2008 z dnia 28 listopada 2007r. zmieniające rozporządzenie WE nr 2195/2002 Parlamentu Europejskiego i Rady w sprawie Wspólnego Słownika Zamówień CPV oraz dyrektywy 2004/17/WE i 2004/18/WE Parlamentu Europejskiego i Rady dotyczące procedur udzielania zamówień publicznych w zakresie zmiany CPV. </w:t>
      </w:r>
    </w:p>
    <w:p w:rsidR="00034005" w:rsidRDefault="00230A9C">
      <w:pPr>
        <w:spacing w:after="29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Rozporządzenie Ministra Spraw Wewnętrznych i Administracji z dnia 2 grudnia 2015 r. w sprawie uzgadniania projektu budowlanego pod względem ochrony przeciwpożarowej, Dz.U. 2015 nr 0 poz. 2117. </w:t>
      </w:r>
    </w:p>
    <w:p w:rsidR="00034005" w:rsidRDefault="00230A9C">
      <w:pPr>
        <w:spacing w:after="29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Rozporządzenie Ministra Spraw Wewnętrznych i Administracji z dnia 24 lipca 2009r. w sprawie przeciwpożarowego zaopatrzenia w wodę oraz dróg pożarowych, Dz.U. 2009 nr 124 poz. 1030. </w:t>
      </w:r>
    </w:p>
    <w:p w:rsidR="00034005" w:rsidRDefault="00230A9C">
      <w:pPr>
        <w:spacing w:after="29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Rozporządzenie Ministra Pracy i Polityki Społecznej z dnia 4 sierpnia 2011 r. zmieniające rozporządzenie w sprawie ogólnych przepisów bezpieczeństwa i higieny pracy, Dz.U. 2011 nr 173 poz. 1034. </w:t>
      </w:r>
    </w:p>
    <w:p w:rsidR="00034005" w:rsidRDefault="00230A9C">
      <w:pPr>
        <w:spacing w:after="29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Rozporządzenie Ministra Infrastruktury z dnia 23 czerwca 2003r. w sprawie informacji dotyczącej bezpieczeństwa i ochrony zdrowia oraz planu bezpieczeństwa i ochrony zdrowia, Dz.U. 2003 nr 120 poz. 1126. </w:t>
      </w:r>
    </w:p>
    <w:p w:rsidR="00034005" w:rsidRDefault="00230A9C">
      <w:pPr>
        <w:spacing w:after="29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- Obwieszczenie Marszałka Sejmu Rzeczypospolitej Polskiej z dnia 26 listopada 2015 r. w sprawie ogłoszenia jednolitego tekstu ustawy – Prawo zamówień publicznych, Dz.U. 2015 nr 0 poz. 2164.</w:t>
      </w:r>
    </w:p>
    <w:p w:rsidR="00034005" w:rsidRDefault="00230A9C">
      <w:pPr>
        <w:spacing w:after="29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Ustawa z dnia 25 czerwca 2015r., Dz.U. 2015 poz. 1165, o zmianie ustawy o wyrobach budowlanych, ustawy - Prawo budowlane oraz ustawy o zmianie ustawy o wyrobach budowlanych oraz ustawy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  <w:t xml:space="preserve">o systemie oceny zgodności. </w:t>
      </w:r>
    </w:p>
    <w:p w:rsidR="00034005" w:rsidRDefault="00230A9C">
      <w:pPr>
        <w:spacing w:after="29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- Rozporządzenie Ministra Infrastruktury z dnia 18 maja 2004 r. w sprawie określenia metod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  <w:t xml:space="preserve">i podstaw sporządzania kosztorysu inwestorskiego, obliczania planowanych kosztów prac projektowych oraz planowanych kosztów robót budowlanych określonych w programie funkcjonalno-użytkowym, Dz.U. 2004 nr 130 poz. 1389. </w:t>
      </w:r>
    </w:p>
    <w:p w:rsidR="00034005" w:rsidRDefault="00230A9C">
      <w:pPr>
        <w:spacing w:after="29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- „Warunki techniczne wykonywania i odbioru robót budowlano-montażowych”.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- wszystkie pozostałe przepisy szczególne i Normy Polskie, mające zastosowanie i wpływ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  <w:t xml:space="preserve">na kompletność i prawidłowość wykonania zadania projektowego oraz docelowe bezpieczeństwo użytkowania wraz z trwałością i ekonomiką rozwiązań technicznych. </w:t>
      </w:r>
      <w:r>
        <w:br w:type="page"/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sz w:val="22"/>
          <w:szCs w:val="22"/>
          <w:lang w:eastAsia="en-US"/>
        </w:rPr>
        <w:lastRenderedPageBreak/>
        <w:t xml:space="preserve">NORMY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PN-HD 308 S2:2007 Identyfikacja żył w kablach i przewodach oraz w przewodach sznurowych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PN-HD 60364-4-41:2009 Instalacje elektryczne niskiego napięcia - Część 4-41: Ochrona dla zapewnienia bezpieczeństwa - Ochrona przed porażeniem elektrycznym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PN-HD 60364-1:2010 Instalacje elektryczne niskiego napięcia - Część 1 Wymagania podstawowe, ustalanie ogólnych charakterystyk, definicje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PN-HD 60364-4-42:2011 Instalacje elektryczne niskiego napięcia - Część 4-42: Ochrona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  <w:t xml:space="preserve">dla zapewnienia bezpieczeństwa - Ochrona przed skutkami oddziaływania cieplnego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PN-HD 60364-4-43:2012 Instalacje elektryczne niskiego napięcia - Część 4-43: Ochrona dla zapewnienia bezpieczeństwa - Ochrona przed prądem przetężeniowym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PN-HD 60364-4-442:2012 (EN) Instalacje elektryczne niskiego napięcia - Część 4-442: Ochrona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  <w:t xml:space="preserve">dla zapewnienia bezpieczeństwa - Ochrona instalacji niskiego napięcia przed przepięciami dorywczymi powstającymi wskutek zwarć doziemnych w układach po stronie wysokiego i niskiego napięcia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PN-HD 60364-4-443:2016-03 (EN) Instalacje elektryczne niskiego napięcia - Część 4-442: Ochrona dla zapewnienia bezpieczeństwa - Ochrona przed zaburzeniami napięciowymi i zaburzeniami elektromagnetycznymi - Ochrona przed przejściowymi przepięciami atmosferycznymi lub łączeniowymi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PN-HD 60364-4-444:2012 Instalacje elektryczne niskiego napięcia - Część 4-444: Ochrona dla zapewnienia bezpieczeństwa - Ochrona przed zakłóceniami napięciowymi i zaburzeniami elektromagnetycznymi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PN-HD 60364-5-51:2011 Instalacje elektryczne w obiektach budowlanych - Część 5-51: Dobór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  <w:t xml:space="preserve">i montaż wyposażenia elektrycznego - Postanowienia ogólne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PN-HD 60364-5-52:2011 Instalacje elektryczne niskiego napięcia - Część 5-52: Dobór i montaż wyposażenia elektrycznego - </w:t>
      </w:r>
      <w:proofErr w:type="spellStart"/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Oprzewodowanie</w:t>
      </w:r>
      <w:proofErr w:type="spellEnd"/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PN-IEC 60364-5-523:2001 Instalacje elektryczne w obiektach budowlanych - Dobór i montaż wyposażenia elektrycznego - Obciążalność prądowa długotrwała przewodów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PN-IEC 60364-5-53:2000 Instalacje elektryczne w obiektach budowlanych - Dobór i montaż wyposażenia elektrycznego - Aparatura rozdzielcza i sterownicza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PN-HD 60364-5-534:2016-04 (EN) Instalacje elektryczne niskiego napięcia - Część 5-534: Dobór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  <w:t xml:space="preserve">i montaż wyposażenia elektrycznego - Odłączanie izolacyjne, łączenie i sterowanie - Urządzenia do ochrony przed przejściowymi przepięciami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PN-HD 60364-5-54:2011 (EN) Instalacje elektryczne niskiego napięcia - Część 5-54: Dobór i montaż wyposażenia elektrycznego - Układy uziemiające i przewody ochronne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PN-HD 60364-6:2008 Instalacje elektryczne niskiego napięcia - Część 6: Sprawdzanie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PN-EN 60445:2011 Zasady podstawowe i bezpieczeństwa przy współdziałaniu człowieka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  <w:t xml:space="preserve">z maszyną, oznaczanie i identyfikacja - Identyfikacja zacisków urządzeń i zakończeń przewodów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PN-EN 50310:2012 Stosowanie połączeń wyrównawczych i uziemiających w budynkach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  <w:t xml:space="preserve">z zainstalowanym sprzętem informatycznym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PN-HD 60364-7-704:2010 Instalacje elektryczne niskiego napięcia - Część 7-704: Wymagania dotyczące specjalnych instalacji lub lokalizacji - Instalacje na terenie budowy i rozbiórki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PN-EN 60529:2003 Stopnie ochrony zapewnianej przez obudowy (kod IP) </w:t>
      </w:r>
    </w:p>
    <w:p w:rsidR="00034005" w:rsidRDefault="00230A9C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PN-EN 61140:2005 Ochrona przed porażeniem prądem elektrycznym - Wspólne aspekty instalacji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br/>
        <w:t xml:space="preserve">i urządzeń </w:t>
      </w:r>
    </w:p>
    <w:p w:rsidR="00034005" w:rsidRDefault="00034005">
      <w:pPr>
        <w:rPr>
          <w:rFonts w:ascii="Arial" w:hAnsi="Arial" w:cs="Arial"/>
          <w:sz w:val="22"/>
          <w:szCs w:val="22"/>
        </w:rPr>
      </w:pPr>
    </w:p>
    <w:p w:rsidR="00034005" w:rsidRDefault="00034005">
      <w:pPr>
        <w:rPr>
          <w:rFonts w:ascii="Arial" w:hAnsi="Arial" w:cs="Arial"/>
          <w:sz w:val="22"/>
          <w:szCs w:val="22"/>
        </w:rPr>
      </w:pPr>
    </w:p>
    <w:p w:rsidR="00034005" w:rsidRDefault="00034005">
      <w:pPr>
        <w:rPr>
          <w:rFonts w:ascii="Arial" w:hAnsi="Arial" w:cs="Arial"/>
          <w:sz w:val="22"/>
          <w:szCs w:val="22"/>
        </w:rPr>
      </w:pPr>
    </w:p>
    <w:p w:rsidR="00034005" w:rsidRDefault="00034005">
      <w:pPr>
        <w:rPr>
          <w:rFonts w:ascii="Arial" w:hAnsi="Arial" w:cs="Arial"/>
          <w:sz w:val="22"/>
          <w:szCs w:val="22"/>
        </w:rPr>
      </w:pPr>
    </w:p>
    <w:p w:rsidR="00034005" w:rsidRDefault="00034005">
      <w:pPr>
        <w:rPr>
          <w:rFonts w:ascii="Arial" w:hAnsi="Arial" w:cs="Arial"/>
          <w:sz w:val="22"/>
          <w:szCs w:val="22"/>
        </w:rPr>
      </w:pPr>
    </w:p>
    <w:p w:rsidR="00034005" w:rsidRDefault="00034005">
      <w:pPr>
        <w:rPr>
          <w:rFonts w:ascii="Arial" w:hAnsi="Arial" w:cs="Arial"/>
          <w:sz w:val="22"/>
          <w:szCs w:val="22"/>
        </w:rPr>
      </w:pPr>
    </w:p>
    <w:p w:rsidR="00034005" w:rsidRDefault="00034005">
      <w:pPr>
        <w:rPr>
          <w:rFonts w:ascii="Arial" w:hAnsi="Arial" w:cs="Arial"/>
          <w:sz w:val="22"/>
          <w:szCs w:val="22"/>
        </w:rPr>
      </w:pPr>
    </w:p>
    <w:p w:rsidR="00034005" w:rsidRDefault="00034005">
      <w:pPr>
        <w:rPr>
          <w:rFonts w:ascii="Arial" w:hAnsi="Arial" w:cs="Arial"/>
          <w:sz w:val="22"/>
          <w:szCs w:val="22"/>
        </w:rPr>
      </w:pPr>
    </w:p>
    <w:p w:rsidR="00034005" w:rsidRDefault="00034005">
      <w:pPr>
        <w:rPr>
          <w:rFonts w:ascii="Arial" w:hAnsi="Arial" w:cs="Arial"/>
          <w:sz w:val="22"/>
          <w:szCs w:val="22"/>
        </w:rPr>
      </w:pPr>
    </w:p>
    <w:p w:rsidR="00034005" w:rsidRDefault="00230A9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Załącznik nr 1 do PFU </w:t>
      </w:r>
    </w:p>
    <w:p w:rsidR="00034005" w:rsidRDefault="00034005">
      <w:pPr>
        <w:rPr>
          <w:rFonts w:ascii="Arial" w:hAnsi="Arial" w:cs="Arial"/>
          <w:b/>
          <w:sz w:val="22"/>
          <w:szCs w:val="22"/>
        </w:rPr>
      </w:pPr>
    </w:p>
    <w:p w:rsidR="00034005" w:rsidRDefault="00230A9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Układ aktualny:</w:t>
      </w:r>
    </w:p>
    <w:p w:rsidR="00034005" w:rsidRDefault="00034005">
      <w:pPr>
        <w:rPr>
          <w:rFonts w:ascii="Arial" w:hAnsi="Arial" w:cs="Arial"/>
          <w:b/>
          <w:sz w:val="22"/>
          <w:szCs w:val="22"/>
        </w:rPr>
      </w:pPr>
    </w:p>
    <w:p w:rsidR="00034005" w:rsidRDefault="00230A9C">
      <w:pPr>
        <w:ind w:left="426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3810" distL="0" distR="114300" simplePos="0" relativeHeight="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5588000" cy="3101340"/>
            <wp:effectExtent l="0" t="0" r="0" b="0"/>
            <wp:wrapSquare wrapText="bothSides"/>
            <wp:docPr id="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29" b="7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szCs w:val="22"/>
        </w:rPr>
        <w:br/>
      </w:r>
    </w:p>
    <w:p w:rsidR="00034005" w:rsidRDefault="00034005">
      <w:pPr>
        <w:jc w:val="right"/>
        <w:rPr>
          <w:rFonts w:ascii="Arial" w:hAnsi="Arial" w:cs="Arial"/>
          <w:b/>
          <w:sz w:val="22"/>
          <w:szCs w:val="22"/>
        </w:rPr>
      </w:pPr>
    </w:p>
    <w:p w:rsidR="00034005" w:rsidRDefault="00034005">
      <w:pPr>
        <w:jc w:val="right"/>
        <w:rPr>
          <w:rFonts w:ascii="Arial" w:hAnsi="Arial" w:cs="Arial"/>
          <w:b/>
          <w:sz w:val="22"/>
          <w:szCs w:val="22"/>
        </w:rPr>
      </w:pPr>
    </w:p>
    <w:p w:rsidR="00034005" w:rsidRDefault="00230A9C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5844540" cy="3908425"/>
            <wp:effectExtent l="0" t="0" r="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767" t="42876" r="43816" b="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t xml:space="preserve">        </w:t>
      </w:r>
    </w:p>
    <w:p w:rsidR="00034005" w:rsidRDefault="00034005">
      <w:pPr>
        <w:rPr>
          <w:rFonts w:ascii="Arial" w:hAnsi="Arial" w:cs="Arial"/>
          <w:b/>
          <w:sz w:val="22"/>
          <w:szCs w:val="22"/>
        </w:rPr>
      </w:pPr>
    </w:p>
    <w:p w:rsidR="00034005" w:rsidRDefault="00034005">
      <w:pPr>
        <w:rPr>
          <w:rFonts w:ascii="Arial" w:hAnsi="Arial" w:cs="Arial"/>
          <w:b/>
          <w:sz w:val="22"/>
          <w:szCs w:val="22"/>
        </w:rPr>
      </w:pPr>
    </w:p>
    <w:p w:rsidR="00034005" w:rsidRDefault="00034005">
      <w:pPr>
        <w:rPr>
          <w:rFonts w:ascii="Arial" w:hAnsi="Arial" w:cs="Arial"/>
          <w:b/>
          <w:sz w:val="22"/>
          <w:szCs w:val="22"/>
        </w:rPr>
      </w:pPr>
    </w:p>
    <w:p w:rsidR="00034005" w:rsidRDefault="00034005">
      <w:pPr>
        <w:rPr>
          <w:rFonts w:ascii="Arial" w:hAnsi="Arial" w:cs="Arial"/>
          <w:b/>
          <w:sz w:val="22"/>
          <w:szCs w:val="22"/>
        </w:rPr>
      </w:pPr>
    </w:p>
    <w:p w:rsidR="00034005" w:rsidRDefault="00034005">
      <w:pPr>
        <w:rPr>
          <w:rFonts w:ascii="Arial" w:hAnsi="Arial" w:cs="Arial"/>
          <w:b/>
          <w:sz w:val="22"/>
          <w:szCs w:val="22"/>
        </w:rPr>
      </w:pPr>
    </w:p>
    <w:p w:rsidR="00034005" w:rsidRDefault="00230A9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Przykładowe rozmieszczenie – do uzgodnienia:</w:t>
      </w:r>
    </w:p>
    <w:p w:rsidR="00034005" w:rsidRDefault="00034005">
      <w:pPr>
        <w:rPr>
          <w:rFonts w:ascii="Arial" w:hAnsi="Arial" w:cs="Arial"/>
          <w:b/>
          <w:sz w:val="22"/>
          <w:szCs w:val="22"/>
        </w:rPr>
      </w:pPr>
    </w:p>
    <w:p w:rsidR="00034005" w:rsidRDefault="00230A9C">
      <w:pPr>
        <w:jc w:val="right"/>
      </w:pPr>
      <w:r>
        <w:rPr>
          <w:noProof/>
        </w:rPr>
        <w:drawing>
          <wp:inline distT="0" distB="0" distL="0" distR="0">
            <wp:extent cx="6004560" cy="3627120"/>
            <wp:effectExtent l="0" t="0" r="0" b="0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110" t="31517" r="44326" b="1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005">
      <w:headerReference w:type="default" r:id="rId15"/>
      <w:footerReference w:type="default" r:id="rId16"/>
      <w:pgSz w:w="11906" w:h="16838"/>
      <w:pgMar w:top="2387" w:right="1021" w:bottom="978" w:left="1021" w:header="737" w:footer="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0A9C" w:rsidRDefault="00230A9C">
      <w:r>
        <w:separator/>
      </w:r>
    </w:p>
  </w:endnote>
  <w:endnote w:type="continuationSeparator" w:id="0">
    <w:p w:rsidR="00230A9C" w:rsidRDefault="00230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gistral Medium">
    <w:altName w:val="Cambria"/>
    <w:charset w:val="EE"/>
    <w:family w:val="roman"/>
    <w:pitch w:val="variable"/>
  </w:font>
  <w:font w:name="MyriadPro-Regular">
    <w:panose1 w:val="00000000000000000000"/>
    <w:charset w:val="00"/>
    <w:family w:val="roman"/>
    <w:notTrueType/>
    <w:pitch w:val="default"/>
  </w:font>
  <w:font w:name="ArialNarrow"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005" w:rsidRDefault="00230A9C">
    <w:pPr>
      <w:rPr>
        <w:rFonts w:ascii="Arial" w:hAnsi="Arial" w:cs="MyriadPro-Regular"/>
        <w:color w:val="231F20"/>
        <w:sz w:val="20"/>
        <w:szCs w:val="20"/>
        <w:lang w:bidi="ne-NP"/>
      </w:rPr>
    </w:pPr>
    <w:r>
      <w:rPr>
        <w:rFonts w:ascii="Arial" w:hAnsi="Arial" w:cs="MyriadPro-Regular"/>
        <w:noProof/>
        <w:color w:val="231F20"/>
        <w:sz w:val="20"/>
        <w:szCs w:val="20"/>
        <w:lang w:bidi="ne-NP"/>
      </w:rPr>
      <w:drawing>
        <wp:anchor distT="0" distB="0" distL="0" distR="0" simplePos="0" relativeHeight="5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9525</wp:posOffset>
          </wp:positionV>
          <wp:extent cx="1257300" cy="352425"/>
          <wp:effectExtent l="0" t="0" r="0" b="0"/>
          <wp:wrapNone/>
          <wp:docPr id="5" name="Obraz 9" descr="poznan_listownik_m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9" descr="poznan_listownik_mj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34005" w:rsidRDefault="00034005">
    <w:pPr>
      <w:rPr>
        <w:rFonts w:ascii="Arial" w:hAnsi="Arial" w:cs="MyriadPro-Regular"/>
        <w:color w:val="231F20"/>
        <w:sz w:val="20"/>
        <w:szCs w:val="20"/>
        <w:lang w:bidi="ne-NP"/>
      </w:rPr>
    </w:pPr>
  </w:p>
  <w:p w:rsidR="00034005" w:rsidRDefault="00034005">
    <w:pPr>
      <w:rPr>
        <w:rFonts w:ascii="Arial" w:hAnsi="Arial" w:cs="MyriadPro-Regular"/>
        <w:color w:val="231F20"/>
        <w:sz w:val="20"/>
        <w:szCs w:val="20"/>
        <w:lang w:bidi="ne-NP"/>
      </w:rPr>
    </w:pPr>
  </w:p>
  <w:p w:rsidR="00034005" w:rsidRDefault="00230A9C">
    <w:pPr>
      <w:rPr>
        <w:rFonts w:ascii="Arial" w:hAnsi="Arial" w:cs="MyriadPro-Regular"/>
        <w:color w:val="231F20"/>
        <w:sz w:val="20"/>
        <w:szCs w:val="20"/>
        <w:lang w:bidi="ne-NP"/>
      </w:rPr>
    </w:pPr>
    <w:r>
      <w:rPr>
        <w:rFonts w:ascii="Arial" w:hAnsi="Arial" w:cs="MyriadPro-Regular"/>
        <w:noProof/>
        <w:color w:val="231F20"/>
        <w:sz w:val="20"/>
        <w:szCs w:val="20"/>
        <w:lang w:bidi="ne-NP"/>
      </w:rPr>
      <mc:AlternateContent>
        <mc:Choice Requires="wps">
          <w:drawing>
            <wp:anchor distT="0" distB="0" distL="0" distR="0" simplePos="0" relativeHeight="4" behindDoc="1" locked="0" layoutInCell="1" allowOverlap="1" wp14:anchorId="7FBF8206">
              <wp:simplePos x="0" y="0"/>
              <wp:positionH relativeFrom="column">
                <wp:posOffset>3810</wp:posOffset>
              </wp:positionH>
              <wp:positionV relativeFrom="paragraph">
                <wp:posOffset>42545</wp:posOffset>
              </wp:positionV>
              <wp:extent cx="5966460" cy="4445"/>
              <wp:effectExtent l="13335" t="13970" r="5715" b="5080"/>
              <wp:wrapNone/>
              <wp:docPr id="6" name="Auto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65920" cy="39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</w:r>
  </w:p>
  <w:p w:rsidR="00034005" w:rsidRDefault="00230A9C">
    <w:pPr>
      <w:rPr>
        <w:rFonts w:ascii="Arial" w:hAnsi="Arial" w:cs="MyriadPro-Regular"/>
        <w:color w:val="231F20"/>
        <w:sz w:val="18"/>
        <w:szCs w:val="18"/>
        <w:lang w:bidi="ne-NP"/>
      </w:rPr>
    </w:pPr>
    <w:r>
      <w:rPr>
        <w:rFonts w:ascii="Arial" w:hAnsi="Arial" w:cs="MyriadPro-Regular"/>
        <w:color w:val="231F20"/>
        <w:sz w:val="18"/>
        <w:szCs w:val="18"/>
        <w:lang w:bidi="ne-NP"/>
      </w:rPr>
      <w:t xml:space="preserve">Zarząd Komunalnych Zasobów Lokalowych sp. z o.o. </w:t>
    </w:r>
    <w:r>
      <w:rPr>
        <w:rFonts w:ascii="Arial" w:hAnsi="Arial" w:cs="MyriadPro-Regular"/>
        <w:color w:val="231F20"/>
        <w:sz w:val="18"/>
        <w:szCs w:val="18"/>
        <w:lang w:bidi="ne-NP"/>
      </w:rPr>
      <w:tab/>
      <w:t>NIP 209 00 02 942 | Regon 302538131</w:t>
    </w:r>
  </w:p>
  <w:p w:rsidR="00034005" w:rsidRDefault="00230A9C">
    <w:pPr>
      <w:rPr>
        <w:rFonts w:ascii="Arial" w:hAnsi="Arial" w:cs="MyriadPro-Regular"/>
        <w:color w:val="231F20"/>
        <w:sz w:val="18"/>
        <w:szCs w:val="18"/>
        <w:lang w:bidi="ne-NP"/>
      </w:rPr>
    </w:pPr>
    <w:r>
      <w:rPr>
        <w:rFonts w:ascii="Arial" w:hAnsi="Arial" w:cs="MyriadPro-Regular"/>
        <w:color w:val="231F20"/>
        <w:sz w:val="18"/>
        <w:szCs w:val="18"/>
        <w:lang w:bidi="ne-NP"/>
      </w:rPr>
      <w:t>ul. Matejki 57, 60-770 Poznań</w:t>
    </w:r>
    <w:r>
      <w:rPr>
        <w:rFonts w:ascii="Arial" w:hAnsi="Arial" w:cs="MyriadPro-Regular"/>
        <w:color w:val="231F20"/>
        <w:sz w:val="18"/>
        <w:szCs w:val="18"/>
        <w:lang w:bidi="ne-NP"/>
      </w:rPr>
      <w:tab/>
    </w:r>
    <w:r>
      <w:rPr>
        <w:rFonts w:ascii="Arial" w:hAnsi="Arial" w:cs="MyriadPro-Regular"/>
        <w:color w:val="231F20"/>
        <w:sz w:val="18"/>
        <w:szCs w:val="18"/>
        <w:lang w:bidi="ne-NP"/>
      </w:rPr>
      <w:tab/>
    </w:r>
    <w:r>
      <w:rPr>
        <w:rFonts w:ascii="Arial" w:hAnsi="Arial" w:cs="MyriadPro-Regular"/>
        <w:color w:val="231F20"/>
        <w:sz w:val="18"/>
        <w:szCs w:val="18"/>
        <w:lang w:bidi="ne-NP"/>
      </w:rPr>
      <w:tab/>
    </w:r>
    <w:r>
      <w:rPr>
        <w:rFonts w:ascii="Arial" w:hAnsi="Arial" w:cs="MyriadPro-Regular"/>
        <w:color w:val="231F20"/>
        <w:sz w:val="18"/>
        <w:szCs w:val="18"/>
        <w:lang w:bidi="ne-NP"/>
      </w:rPr>
      <w:tab/>
      <w:t>KRS 0000483352 | Kapitał zakładowy: 186 434 500,00 zł</w:t>
    </w:r>
  </w:p>
  <w:p w:rsidR="00034005" w:rsidRDefault="00230A9C">
    <w:pPr>
      <w:rPr>
        <w:rFonts w:ascii="Arial" w:hAnsi="Arial" w:cs="MyriadPro-Regular"/>
        <w:color w:val="231F20"/>
        <w:sz w:val="18"/>
        <w:szCs w:val="18"/>
        <w:lang w:bidi="ne-NP"/>
      </w:rPr>
    </w:pPr>
    <w:r>
      <w:rPr>
        <w:rFonts w:ascii="Arial" w:hAnsi="Arial" w:cs="MyriadPro-Regular"/>
        <w:color w:val="231F20"/>
        <w:sz w:val="18"/>
        <w:szCs w:val="18"/>
        <w:lang w:bidi="ne-NP"/>
      </w:rPr>
      <w:t xml:space="preserve">tel. +48 61 869 48 00 | fax +48 61 869 48 09 </w:t>
    </w:r>
    <w:r>
      <w:rPr>
        <w:rFonts w:ascii="Arial" w:hAnsi="Arial" w:cs="MyriadPro-Regular"/>
        <w:color w:val="231F20"/>
        <w:sz w:val="18"/>
        <w:szCs w:val="18"/>
        <w:lang w:bidi="ne-NP"/>
      </w:rPr>
      <w:tab/>
    </w:r>
    <w:r>
      <w:rPr>
        <w:rFonts w:ascii="Arial" w:hAnsi="Arial" w:cs="MyriadPro-Regular"/>
        <w:color w:val="231F20"/>
        <w:sz w:val="18"/>
        <w:szCs w:val="18"/>
        <w:lang w:bidi="ne-NP"/>
      </w:rPr>
      <w:tab/>
      <w:t>Sąd Rejonowy Poznań - Nowe Miasto i Wilda w Poznaniu</w:t>
    </w:r>
  </w:p>
  <w:p w:rsidR="00034005" w:rsidRDefault="00230A9C">
    <w:pPr>
      <w:rPr>
        <w:rFonts w:ascii="Arial" w:hAnsi="Arial" w:cs="MyriadPro-Regular"/>
        <w:color w:val="231F20"/>
        <w:sz w:val="18"/>
        <w:szCs w:val="18"/>
        <w:lang w:bidi="ne-NP"/>
      </w:rPr>
    </w:pPr>
    <w:r>
      <w:rPr>
        <w:rFonts w:ascii="Arial" w:hAnsi="Arial" w:cs="MyriadPro-Regular"/>
        <w:color w:val="231F20"/>
        <w:sz w:val="18"/>
        <w:szCs w:val="18"/>
        <w:lang w:bidi="ne-NP"/>
      </w:rPr>
      <w:t>obsluga.klienta@zkzl.poznan.pl | zkzl.poznan.pl</w:t>
    </w:r>
    <w:r>
      <w:rPr>
        <w:rFonts w:ascii="Arial" w:hAnsi="Arial" w:cs="MyriadPro-Regular"/>
        <w:color w:val="231F20"/>
        <w:sz w:val="18"/>
        <w:szCs w:val="18"/>
        <w:lang w:bidi="ne-NP"/>
      </w:rPr>
      <w:tab/>
    </w:r>
    <w:r>
      <w:rPr>
        <w:rFonts w:ascii="Arial" w:hAnsi="Arial" w:cs="MyriadPro-Regular"/>
        <w:color w:val="231F20"/>
        <w:sz w:val="18"/>
        <w:szCs w:val="18"/>
        <w:lang w:bidi="ne-NP"/>
      </w:rPr>
      <w:tab/>
      <w:t>Wydział VIII Gospodarczy KRS</w:t>
    </w:r>
  </w:p>
  <w:p w:rsidR="00034005" w:rsidRDefault="00034005">
    <w:pPr>
      <w:rPr>
        <w:rFonts w:ascii="Arial" w:hAnsi="Arial" w:cs="MyriadPro-Regular"/>
        <w:color w:val="231F20"/>
        <w:sz w:val="18"/>
        <w:szCs w:val="18"/>
        <w:lang w:bidi="ne-NP"/>
      </w:rPr>
    </w:pPr>
  </w:p>
  <w:p w:rsidR="00034005" w:rsidRDefault="00034005">
    <w:pPr>
      <w:rPr>
        <w:rFonts w:ascii="Arial" w:hAnsi="Arial" w:cs="MyriadPro-Regular"/>
        <w:color w:val="231F20"/>
        <w:sz w:val="20"/>
        <w:szCs w:val="20"/>
        <w:lang w:bidi="ne-NP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005" w:rsidRDefault="00230A9C">
    <w:pPr>
      <w:pStyle w:val="Stopka"/>
      <w:jc w:val="center"/>
    </w:pPr>
    <w:r>
      <w:t xml:space="preserve">str. </w:t>
    </w:r>
    <w:r>
      <w:fldChar w:fldCharType="begin"/>
    </w:r>
    <w:r>
      <w:instrText>PAGE</w:instrText>
    </w:r>
    <w:r>
      <w:fldChar w:fldCharType="separate"/>
    </w:r>
    <w: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0A9C" w:rsidRDefault="00230A9C">
      <w:r>
        <w:separator/>
      </w:r>
    </w:p>
  </w:footnote>
  <w:footnote w:type="continuationSeparator" w:id="0">
    <w:p w:rsidR="00230A9C" w:rsidRDefault="00230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005" w:rsidRDefault="00230A9C">
    <w:pPr>
      <w:pStyle w:val="Nagwek"/>
      <w:spacing w:before="1240" w:after="0" w:line="240" w:lineRule="auto"/>
      <w:rPr>
        <w:rFonts w:ascii="Arial" w:hAnsi="Arial"/>
      </w:rPr>
    </w:pPr>
    <w:r>
      <w:rPr>
        <w:rFonts w:ascii="Arial" w:hAnsi="Arial"/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297D01F">
              <wp:simplePos x="0" y="0"/>
              <wp:positionH relativeFrom="column">
                <wp:posOffset>3213735</wp:posOffset>
              </wp:positionH>
              <wp:positionV relativeFrom="paragraph">
                <wp:posOffset>892810</wp:posOffset>
              </wp:positionV>
              <wp:extent cx="3499485" cy="289560"/>
              <wp:effectExtent l="3810" t="0" r="0" b="2540"/>
              <wp:wrapNone/>
              <wp:docPr id="2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98840" cy="289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34005" w:rsidRDefault="00230A9C">
                          <w:pPr>
                            <w:pStyle w:val="Zawartoramki"/>
                            <w:rPr>
                              <w:rFonts w:ascii="Magistral Medium" w:hAnsi="Magistral Medium"/>
                              <w:color w:val="234792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Magistral Medium" w:hAnsi="Magistral Medium"/>
                              <w:color w:val="234792"/>
                              <w:sz w:val="21"/>
                              <w:szCs w:val="21"/>
                            </w:rPr>
                            <w:t>Zarząd Komunalnych Zasobów Lokalowych sp. z o.o.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3" fillcolor="white" stroked="f" style="position:absolute;margin-left:253.05pt;margin-top:70.3pt;width:275.45pt;height:22.7pt" wp14:anchorId="4297D01F">
              <w10:wrap type="square"/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Zawartoramki"/>
                      <w:suppressAutoHyphens w:val="true"/>
                      <w:spacing w:lineRule="auto" w:line="276" w:before="0" w:after="200"/>
                      <w:rPr>
                        <w:rFonts w:ascii="Magistral Medium" w:hAnsi="Magistral Medium"/>
                        <w:color w:val="234792"/>
                        <w:sz w:val="21"/>
                        <w:szCs w:val="21"/>
                      </w:rPr>
                    </w:pPr>
                    <w:r>
                      <w:rPr>
                        <w:rFonts w:ascii="Magistral Medium" w:hAnsi="Magistral Medium"/>
                        <w:color w:val="234792"/>
                        <w:sz w:val="21"/>
                        <w:szCs w:val="21"/>
                      </w:rPr>
                      <w:t>Zarząd Komunalnych Zasobów Lokalowych sp. z o.o.</w:t>
                    </w:r>
                  </w:p>
                </w:txbxContent>
              </v:textbox>
            </v:rect>
          </w:pict>
        </mc:Fallback>
      </mc:AlternateContent>
    </w:r>
    <w:r>
      <w:rPr>
        <w:rFonts w:ascii="Arial" w:hAnsi="Arial"/>
        <w:noProof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2785110</wp:posOffset>
          </wp:positionH>
          <wp:positionV relativeFrom="paragraph">
            <wp:posOffset>-69215</wp:posOffset>
          </wp:positionV>
          <wp:extent cx="3228975" cy="1190625"/>
          <wp:effectExtent l="0" t="0" r="0" b="0"/>
          <wp:wrapNone/>
          <wp:docPr id="4" name="Obraz 2" descr="zkzl_logo_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2" descr="zkzl_logo_lis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005" w:rsidRDefault="00230A9C">
    <w:pPr>
      <w:pStyle w:val="Styl2"/>
    </w:pPr>
    <w:r>
      <w:t>PROGRAM FUNKCJONALNO-UŻYTKOWY</w:t>
    </w:r>
  </w:p>
  <w:p w:rsidR="00034005" w:rsidRDefault="00230A9C">
    <w:pPr>
      <w:jc w:val="center"/>
    </w:pPr>
    <w:r>
      <w:rPr>
        <w:rFonts w:ascii="Arial" w:eastAsiaTheme="minorHAnsi" w:hAnsi="Arial" w:cs="Arial"/>
        <w:b/>
        <w:bCs/>
        <w:color w:val="000000"/>
        <w:lang w:eastAsia="en-US"/>
      </w:rPr>
      <w:t xml:space="preserve">Montaż </w:t>
    </w:r>
    <w:proofErr w:type="spellStart"/>
    <w:r>
      <w:rPr>
        <w:rFonts w:ascii="Arial" w:eastAsiaTheme="minorHAnsi" w:hAnsi="Arial" w:cs="Arial"/>
        <w:b/>
        <w:bCs/>
        <w:color w:val="000000"/>
        <w:lang w:eastAsia="en-US"/>
      </w:rPr>
      <w:t>citylightów</w:t>
    </w:r>
    <w:proofErr w:type="spellEnd"/>
    <w:r>
      <w:rPr>
        <w:rFonts w:ascii="Arial" w:eastAsiaTheme="minorHAnsi" w:hAnsi="Arial" w:cs="Arial"/>
        <w:b/>
        <w:bCs/>
        <w:color w:val="000000"/>
        <w:lang w:eastAsia="en-US"/>
      </w:rPr>
      <w:t xml:space="preserve"> digital i </w:t>
    </w:r>
    <w:proofErr w:type="spellStart"/>
    <w:r>
      <w:rPr>
        <w:rFonts w:ascii="Arial" w:eastAsiaTheme="minorHAnsi" w:hAnsi="Arial" w:cs="Arial"/>
        <w:b/>
        <w:bCs/>
        <w:color w:val="000000"/>
        <w:lang w:eastAsia="en-US"/>
      </w:rPr>
      <w:t>citylig</w:t>
    </w:r>
    <w:r w:rsidRPr="000D69DD">
      <w:rPr>
        <w:rFonts w:ascii="Arial" w:eastAsiaTheme="minorHAnsi" w:hAnsi="Arial" w:cs="Arial"/>
        <w:b/>
        <w:bCs/>
        <w:color w:val="000000"/>
        <w:lang w:eastAsia="en-US"/>
      </w:rPr>
      <w:t>h</w:t>
    </w:r>
    <w:r>
      <w:rPr>
        <w:rFonts w:ascii="Arial" w:eastAsiaTheme="minorHAnsi" w:hAnsi="Arial" w:cs="Arial"/>
        <w:b/>
        <w:bCs/>
        <w:color w:val="000000"/>
        <w:lang w:eastAsia="en-US"/>
      </w:rPr>
      <w:t>tów</w:t>
    </w:r>
    <w:proofErr w:type="spellEnd"/>
    <w:r>
      <w:rPr>
        <w:rFonts w:ascii="Arial" w:eastAsiaTheme="minorHAnsi" w:hAnsi="Arial" w:cs="Arial"/>
        <w:b/>
        <w:bCs/>
        <w:color w:val="000000"/>
        <w:lang w:eastAsia="en-US"/>
      </w:rPr>
      <w:t xml:space="preserve"> w formie </w:t>
    </w:r>
    <w:proofErr w:type="spellStart"/>
    <w:r>
      <w:rPr>
        <w:rFonts w:ascii="Arial" w:eastAsiaTheme="minorHAnsi" w:hAnsi="Arial" w:cs="Arial"/>
        <w:b/>
        <w:bCs/>
        <w:color w:val="000000"/>
        <w:lang w:eastAsia="en-US"/>
      </w:rPr>
      <w:t>rollpostera</w:t>
    </w:r>
    <w:proofErr w:type="spellEnd"/>
    <w:r>
      <w:rPr>
        <w:rFonts w:ascii="Arial" w:eastAsiaTheme="minorHAnsi" w:hAnsi="Arial" w:cs="Arial"/>
        <w:b/>
        <w:bCs/>
        <w:color w:val="000000"/>
        <w:lang w:eastAsia="en-US"/>
      </w:rPr>
      <w:t xml:space="preserve">/plakatów </w:t>
    </w:r>
  </w:p>
  <w:p w:rsidR="00034005" w:rsidRDefault="00230A9C">
    <w:pPr>
      <w:jc w:val="center"/>
      <w:rPr>
        <w:rFonts w:ascii="Arial" w:eastAsiaTheme="minorHAnsi" w:hAnsi="Arial" w:cs="Arial"/>
        <w:b/>
        <w:bCs/>
        <w:lang w:eastAsia="en-US"/>
      </w:rPr>
    </w:pPr>
    <w:r>
      <w:rPr>
        <w:rFonts w:ascii="Arial" w:eastAsiaTheme="minorHAnsi" w:hAnsi="Arial" w:cs="Arial"/>
        <w:b/>
        <w:bCs/>
        <w:color w:val="000000"/>
        <w:lang w:eastAsia="en-US"/>
      </w:rPr>
      <w:t>na ścianie budynku na terminalu Dworca autobusowego Poznań Główny.</w:t>
    </w:r>
  </w:p>
  <w:p w:rsidR="00034005" w:rsidRDefault="00034005">
    <w:pPr>
      <w:jc w:val="center"/>
      <w:rPr>
        <w:rFonts w:ascii="Arial" w:eastAsiaTheme="minorHAnsi" w:hAnsi="Arial" w:cs="Arial"/>
        <w:b/>
        <w:bCs/>
        <w:lang w:eastAsia="en-US"/>
      </w:rPr>
    </w:pPr>
  </w:p>
  <w:p w:rsidR="00034005" w:rsidRDefault="00034005">
    <w:pPr>
      <w:rPr>
        <w:b/>
        <w:i/>
        <w:sz w:val="28"/>
        <w:szCs w:val="28"/>
      </w:rPr>
    </w:pPr>
  </w:p>
  <w:p w:rsidR="00034005" w:rsidRDefault="00034005">
    <w:pPr>
      <w:pStyle w:val="Nagwek"/>
      <w:spacing w:after="0" w:line="240" w:lineRule="auto"/>
      <w:ind w:right="-142"/>
      <w:jc w:val="center"/>
      <w:rPr>
        <w:rFonts w:ascii="Arial" w:hAnsi="Arial" w:cs="Arial"/>
        <w:b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8D4B59"/>
    <w:multiLevelType w:val="multilevel"/>
    <w:tmpl w:val="A96AC344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30BF6"/>
    <w:multiLevelType w:val="multilevel"/>
    <w:tmpl w:val="08A89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57577887"/>
    <w:multiLevelType w:val="multilevel"/>
    <w:tmpl w:val="3854566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6E7264AD"/>
    <w:multiLevelType w:val="multilevel"/>
    <w:tmpl w:val="09485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005"/>
    <w:rsid w:val="00034005"/>
    <w:rsid w:val="00040D9A"/>
    <w:rsid w:val="000D69DD"/>
    <w:rsid w:val="000E1C32"/>
    <w:rsid w:val="00165B41"/>
    <w:rsid w:val="00230A9C"/>
    <w:rsid w:val="00353382"/>
    <w:rsid w:val="0035460A"/>
    <w:rsid w:val="003B15C7"/>
    <w:rsid w:val="00495EAA"/>
    <w:rsid w:val="0071791F"/>
    <w:rsid w:val="00751EB5"/>
    <w:rsid w:val="007D4499"/>
    <w:rsid w:val="00A034E7"/>
    <w:rsid w:val="00A91128"/>
    <w:rsid w:val="00EC2729"/>
    <w:rsid w:val="00F5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A458F"/>
  <w15:docId w15:val="{C2FF14AC-D5B8-490C-B050-BB450CC74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14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5A639B"/>
    <w:rPr>
      <w:rFonts w:ascii="Times New Roman" w:eastAsia="Times New Roman" w:hAnsi="Times New Roman" w:cs="Times New Roman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5A639B"/>
    <w:rPr>
      <w:rFonts w:ascii="Times New Roman" w:eastAsia="Times New Roman" w:hAnsi="Times New Roman" w:cs="Times New Roman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10C8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534B42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9525DB"/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has-inline-color">
    <w:name w:val="has-inline-color"/>
    <w:basedOn w:val="Domylnaczcionkaakapitu"/>
    <w:qFormat/>
    <w:rsid w:val="00AE13FE"/>
  </w:style>
  <w:style w:type="character" w:styleId="Pogrubienie">
    <w:name w:val="Strong"/>
    <w:basedOn w:val="Domylnaczcionkaakapitu"/>
    <w:uiPriority w:val="22"/>
    <w:qFormat/>
    <w:rsid w:val="00AE13FE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EF1CBC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EF1CBC"/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EF1CBC"/>
    <w:rPr>
      <w:rFonts w:ascii="Times New Roman" w:eastAsia="Times New Roman" w:hAnsi="Times New Roman" w:cs="Times New Roman"/>
      <w:b/>
      <w:bCs/>
      <w:szCs w:val="20"/>
      <w:lang w:eastAsia="pl-PL"/>
    </w:rPr>
  </w:style>
  <w:style w:type="character" w:customStyle="1" w:styleId="ListLabel1">
    <w:name w:val="ListLabel 1"/>
    <w:qFormat/>
    <w:rPr>
      <w:rFonts w:ascii="Arial" w:hAnsi="Arial"/>
      <w:color w:val="auto"/>
      <w:sz w:val="22"/>
    </w:rPr>
  </w:style>
  <w:style w:type="character" w:customStyle="1" w:styleId="ListLabel2">
    <w:name w:val="ListLabel 2"/>
    <w:qFormat/>
    <w:rPr>
      <w:rFonts w:ascii="Arial" w:hAnsi="Arial"/>
      <w:sz w:val="22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rFonts w:ascii="Arial" w:hAnsi="Arial"/>
      <w:sz w:val="22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rFonts w:asciiTheme="minorHAnsi" w:hAnsiTheme="minorHAnsi" w:cstheme="minorHAnsi"/>
      <w:b/>
      <w:color w:val="000000"/>
    </w:rPr>
  </w:style>
  <w:style w:type="character" w:customStyle="1" w:styleId="ListLabel39">
    <w:name w:val="ListLabel 39"/>
    <w:qFormat/>
    <w:rPr>
      <w:rFonts w:ascii="Arial" w:hAnsi="Arial"/>
      <w:color w:val="auto"/>
      <w:sz w:val="22"/>
    </w:rPr>
  </w:style>
  <w:style w:type="character" w:customStyle="1" w:styleId="ListLabel40">
    <w:name w:val="ListLabel 40"/>
    <w:qFormat/>
    <w:rPr>
      <w:rFonts w:ascii="Arial" w:hAnsi="Arial" w:cs="Symbol"/>
      <w:sz w:val="22"/>
    </w:rPr>
  </w:style>
  <w:style w:type="character" w:customStyle="1" w:styleId="ListLabel41">
    <w:name w:val="ListLabel 41"/>
    <w:qFormat/>
    <w:rPr>
      <w:rFonts w:cs="Courier New"/>
      <w:sz w:val="20"/>
    </w:rPr>
  </w:style>
  <w:style w:type="character" w:customStyle="1" w:styleId="ListLabel42">
    <w:name w:val="ListLabel 42"/>
    <w:qFormat/>
    <w:rPr>
      <w:rFonts w:cs="Wingdings"/>
      <w:sz w:val="20"/>
    </w:rPr>
  </w:style>
  <w:style w:type="character" w:customStyle="1" w:styleId="ListLabel43">
    <w:name w:val="ListLabel 43"/>
    <w:qFormat/>
    <w:rPr>
      <w:rFonts w:cs="Wingdings"/>
      <w:sz w:val="20"/>
    </w:rPr>
  </w:style>
  <w:style w:type="character" w:customStyle="1" w:styleId="ListLabel44">
    <w:name w:val="ListLabel 44"/>
    <w:qFormat/>
    <w:rPr>
      <w:rFonts w:cs="Wingdings"/>
      <w:sz w:val="20"/>
    </w:rPr>
  </w:style>
  <w:style w:type="character" w:customStyle="1" w:styleId="ListLabel45">
    <w:name w:val="ListLabel 45"/>
    <w:qFormat/>
    <w:rPr>
      <w:rFonts w:cs="Wingdings"/>
      <w:sz w:val="20"/>
    </w:rPr>
  </w:style>
  <w:style w:type="character" w:customStyle="1" w:styleId="ListLabel46">
    <w:name w:val="ListLabel 46"/>
    <w:qFormat/>
    <w:rPr>
      <w:rFonts w:cs="Wingdings"/>
      <w:sz w:val="20"/>
    </w:rPr>
  </w:style>
  <w:style w:type="character" w:customStyle="1" w:styleId="ListLabel47">
    <w:name w:val="ListLabel 47"/>
    <w:qFormat/>
    <w:rPr>
      <w:rFonts w:cs="Wingdings"/>
      <w:sz w:val="20"/>
    </w:rPr>
  </w:style>
  <w:style w:type="character" w:customStyle="1" w:styleId="ListLabel48">
    <w:name w:val="ListLabel 48"/>
    <w:qFormat/>
    <w:rPr>
      <w:rFonts w:cs="Wingdings"/>
      <w:sz w:val="20"/>
    </w:rPr>
  </w:style>
  <w:style w:type="character" w:customStyle="1" w:styleId="ListLabel49">
    <w:name w:val="ListLabel 49"/>
    <w:qFormat/>
    <w:rPr>
      <w:rFonts w:ascii="Arial" w:hAnsi="Arial" w:cs="Symbol"/>
      <w:sz w:val="22"/>
    </w:rPr>
  </w:style>
  <w:style w:type="character" w:customStyle="1" w:styleId="ListLabel50">
    <w:name w:val="ListLabel 50"/>
    <w:qFormat/>
    <w:rPr>
      <w:rFonts w:cs="Courier New"/>
      <w:sz w:val="20"/>
    </w:rPr>
  </w:style>
  <w:style w:type="character" w:customStyle="1" w:styleId="ListLabel51">
    <w:name w:val="ListLabel 51"/>
    <w:qFormat/>
    <w:rPr>
      <w:rFonts w:cs="Wingdings"/>
      <w:sz w:val="20"/>
    </w:rPr>
  </w:style>
  <w:style w:type="character" w:customStyle="1" w:styleId="ListLabel52">
    <w:name w:val="ListLabel 52"/>
    <w:qFormat/>
    <w:rPr>
      <w:rFonts w:cs="Wingdings"/>
      <w:sz w:val="20"/>
    </w:rPr>
  </w:style>
  <w:style w:type="character" w:customStyle="1" w:styleId="ListLabel53">
    <w:name w:val="ListLabel 53"/>
    <w:qFormat/>
    <w:rPr>
      <w:rFonts w:cs="Wingdings"/>
      <w:sz w:val="20"/>
    </w:rPr>
  </w:style>
  <w:style w:type="character" w:customStyle="1" w:styleId="ListLabel54">
    <w:name w:val="ListLabel 54"/>
    <w:qFormat/>
    <w:rPr>
      <w:rFonts w:cs="Wingdings"/>
      <w:sz w:val="20"/>
    </w:rPr>
  </w:style>
  <w:style w:type="character" w:customStyle="1" w:styleId="ListLabel55">
    <w:name w:val="ListLabel 55"/>
    <w:qFormat/>
    <w:rPr>
      <w:rFonts w:cs="Wingdings"/>
      <w:sz w:val="20"/>
    </w:rPr>
  </w:style>
  <w:style w:type="character" w:customStyle="1" w:styleId="ListLabel56">
    <w:name w:val="ListLabel 56"/>
    <w:qFormat/>
    <w:rPr>
      <w:rFonts w:cs="Wingdings"/>
      <w:sz w:val="20"/>
    </w:rPr>
  </w:style>
  <w:style w:type="character" w:customStyle="1" w:styleId="ListLabel57">
    <w:name w:val="ListLabel 57"/>
    <w:qFormat/>
    <w:rPr>
      <w:rFonts w:cs="Wingdings"/>
      <w:sz w:val="20"/>
    </w:rPr>
  </w:style>
  <w:style w:type="character" w:customStyle="1" w:styleId="ListLabel58">
    <w:name w:val="ListLabel 58"/>
    <w:qFormat/>
    <w:rPr>
      <w:rFonts w:asciiTheme="minorHAnsi" w:hAnsiTheme="minorHAnsi" w:cstheme="minorHAnsi"/>
      <w:b/>
      <w:color w:val="000000"/>
    </w:rPr>
  </w:style>
  <w:style w:type="paragraph" w:styleId="Nagwek">
    <w:name w:val="header"/>
    <w:basedOn w:val="Normalny"/>
    <w:next w:val="Tekstpodstawowy"/>
    <w:link w:val="NagwekZnak"/>
    <w:uiPriority w:val="99"/>
    <w:rsid w:val="005A639B"/>
    <w:pPr>
      <w:tabs>
        <w:tab w:val="center" w:pos="4536"/>
        <w:tab w:val="right" w:pos="9072"/>
      </w:tabs>
      <w:suppressAutoHyphens/>
      <w:spacing w:after="200" w:line="276" w:lineRule="auto"/>
    </w:pPr>
    <w:rPr>
      <w:sz w:val="22"/>
      <w:szCs w:val="22"/>
    </w:rPr>
  </w:style>
  <w:style w:type="paragraph" w:styleId="Tekstpodstawowy">
    <w:name w:val="Body Text"/>
    <w:basedOn w:val="Normalny"/>
    <w:pPr>
      <w:suppressAutoHyphens/>
      <w:spacing w:after="140" w:line="276" w:lineRule="auto"/>
    </w:pPr>
    <w:rPr>
      <w:sz w:val="22"/>
      <w:szCs w:val="22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uppressAutoHyphens/>
      <w:spacing w:before="120" w:after="120" w:line="276" w:lineRule="auto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  <w:suppressAutoHyphens/>
      <w:spacing w:after="200" w:line="276" w:lineRule="auto"/>
    </w:pPr>
    <w:rPr>
      <w:rFonts w:cs="Lucida Sans"/>
      <w:sz w:val="22"/>
      <w:szCs w:val="22"/>
    </w:rPr>
  </w:style>
  <w:style w:type="paragraph" w:customStyle="1" w:styleId="Gwkaistopka">
    <w:name w:val="Główka i stopka"/>
    <w:basedOn w:val="Normalny"/>
    <w:qFormat/>
    <w:pPr>
      <w:suppressAutoHyphens/>
      <w:spacing w:after="200" w:line="276" w:lineRule="auto"/>
    </w:pPr>
    <w:rPr>
      <w:sz w:val="22"/>
      <w:szCs w:val="22"/>
    </w:rPr>
  </w:style>
  <w:style w:type="paragraph" w:styleId="Stopka">
    <w:name w:val="footer"/>
    <w:basedOn w:val="Normalny"/>
    <w:link w:val="StopkaZnak"/>
    <w:uiPriority w:val="99"/>
    <w:rsid w:val="005A639B"/>
    <w:pPr>
      <w:tabs>
        <w:tab w:val="center" w:pos="4536"/>
        <w:tab w:val="right" w:pos="9072"/>
      </w:tabs>
      <w:suppressAutoHyphens/>
      <w:spacing w:after="200" w:line="276" w:lineRule="auto"/>
    </w:pPr>
    <w:rPr>
      <w:sz w:val="22"/>
      <w:szCs w:val="22"/>
    </w:rPr>
  </w:style>
  <w:style w:type="paragraph" w:customStyle="1" w:styleId="Styl2">
    <w:name w:val="Styl2"/>
    <w:basedOn w:val="Normalny"/>
    <w:autoRedefine/>
    <w:qFormat/>
    <w:rsid w:val="005A639B"/>
    <w:pPr>
      <w:suppressAutoHyphens/>
      <w:spacing w:line="360" w:lineRule="auto"/>
      <w:ind w:right="29"/>
      <w:jc w:val="center"/>
    </w:pPr>
    <w:rPr>
      <w:b/>
      <w:spacing w:val="-1"/>
      <w:sz w:val="36"/>
      <w:szCs w:val="36"/>
    </w:rPr>
  </w:style>
  <w:style w:type="paragraph" w:styleId="Akapitzlist">
    <w:name w:val="List Paragraph"/>
    <w:basedOn w:val="Normalny"/>
    <w:link w:val="AkapitzlistZnak"/>
    <w:uiPriority w:val="34"/>
    <w:qFormat/>
    <w:rsid w:val="005A639B"/>
    <w:pPr>
      <w:suppressAutoHyphens/>
      <w:ind w:left="708"/>
    </w:pPr>
    <w:rPr>
      <w:sz w:val="20"/>
      <w:szCs w:val="20"/>
    </w:rPr>
  </w:style>
  <w:style w:type="paragraph" w:customStyle="1" w:styleId="Default">
    <w:name w:val="Default"/>
    <w:qFormat/>
    <w:rsid w:val="005A639B"/>
    <w:rPr>
      <w:rFonts w:ascii="Calibri" w:eastAsia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10C82"/>
    <w:pPr>
      <w:suppressAutoHyphens/>
    </w:pPr>
    <w:rPr>
      <w:rFonts w:ascii="Segoe UI" w:hAnsi="Segoe UI" w:cs="Segoe UI"/>
      <w:sz w:val="18"/>
      <w:szCs w:val="18"/>
    </w:rPr>
  </w:style>
  <w:style w:type="paragraph" w:customStyle="1" w:styleId="Zawartoramki">
    <w:name w:val="Zawartość ramki"/>
    <w:basedOn w:val="Normalny"/>
    <w:qFormat/>
    <w:pPr>
      <w:suppressAutoHyphens/>
      <w:spacing w:after="200" w:line="276" w:lineRule="auto"/>
    </w:pPr>
    <w:rPr>
      <w:sz w:val="22"/>
      <w:szCs w:val="22"/>
    </w:rPr>
  </w:style>
  <w:style w:type="paragraph" w:styleId="NormalnyWeb">
    <w:name w:val="Normal (Web)"/>
    <w:basedOn w:val="Normalny"/>
    <w:uiPriority w:val="99"/>
    <w:unhideWhenUsed/>
    <w:qFormat/>
    <w:rsid w:val="00285CB4"/>
    <w:pPr>
      <w:spacing w:beforeAutospacing="1" w:afterAutospacing="1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EF1CBC"/>
    <w:rPr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EF1CBC"/>
    <w:rPr>
      <w:b/>
      <w:bCs/>
    </w:rPr>
  </w:style>
  <w:style w:type="table" w:styleId="Tabela-Siatka">
    <w:name w:val="Table Grid"/>
    <w:basedOn w:val="Standardowy"/>
    <w:uiPriority w:val="39"/>
    <w:rsid w:val="00C138A2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sa=t&amp;rct=j&amp;q=&amp;esrc=s&amp;source=web&amp;cd=4&amp;cad=rja&amp;uact=8&amp;ved=2ahUKEwif2P2For_lAhXJlIsKHeUiDMkQFjADegQIABAB&amp;url=http%3A%2F%2Fdrzewo-cpv.phpfactory.pl%2F45000000-7&amp;usg=AOvVaw0WjilarZDZn0FVYisBdn_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8FDF6-78A0-45F7-BC48-2F806D79B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3318</Words>
  <Characters>19910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Szych</dc:creator>
  <dc:description/>
  <cp:lastModifiedBy>Aleksandra Szych</cp:lastModifiedBy>
  <cp:revision>14</cp:revision>
  <dcterms:created xsi:type="dcterms:W3CDTF">2021-11-23T11:29:00Z</dcterms:created>
  <dcterms:modified xsi:type="dcterms:W3CDTF">2021-11-23T12:11:00Z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